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140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1920"/>
        <w:gridCol w:w="7425"/>
        <w:gridCol w:w="3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69" w:type="dxa"/>
            <w:gridSpan w:val="4"/>
            <w:tcBorders>
              <w:top w:val="nil"/>
              <w:left w:val="nil"/>
              <w:right w:val="nil"/>
            </w:tcBorders>
            <w:noWrap w:val="0"/>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宋体" w:hAnsi="宋体" w:eastAsia="宋体" w:cs="宋体"/>
                <w:b/>
                <w:bCs/>
                <w:sz w:val="24"/>
                <w:szCs w:val="24"/>
                <w:vertAlign w:val="baseline"/>
                <w:lang w:eastAsia="zh-CN"/>
              </w:rPr>
            </w:pPr>
            <w:r>
              <w:rPr>
                <w:rFonts w:hint="eastAsia" w:ascii="仿宋" w:hAnsi="仿宋" w:eastAsia="仿宋" w:cs="仿宋"/>
                <w:b w:val="0"/>
                <w:bCs w:val="0"/>
                <w:sz w:val="24"/>
                <w:szCs w:val="24"/>
                <w:vertAlign w:val="baseline"/>
                <w:lang w:eastAsia="zh-CN"/>
              </w:rPr>
              <w:t>附件一</w:t>
            </w:r>
            <w:r>
              <w:rPr>
                <w:rFonts w:hint="eastAsia" w:ascii="仿宋" w:hAnsi="仿宋" w:eastAsia="仿宋" w:cs="仿宋"/>
                <w:b w:val="0"/>
                <w:bCs w:val="0"/>
                <w:sz w:val="24"/>
                <w:szCs w:val="24"/>
                <w:vertAlign w:val="baseline"/>
                <w:lang w:val="en-US" w:eastAsia="zh-CN"/>
              </w:rPr>
              <w:t xml:space="preserve"> </w:t>
            </w:r>
            <w:r>
              <w:rPr>
                <w:rFonts w:hint="eastAsia" w:ascii="宋体" w:hAnsi="宋体" w:eastAsia="宋体" w:cs="宋体"/>
                <w:b/>
                <w:bCs/>
                <w:sz w:val="36"/>
                <w:szCs w:val="36"/>
                <w:vertAlign w:val="baseline"/>
                <w:lang w:val="en-US" w:eastAsia="zh-CN"/>
              </w:rPr>
              <w:t xml:space="preserve">                    </w:t>
            </w:r>
            <w:r>
              <w:rPr>
                <w:rFonts w:hint="eastAsia" w:ascii="宋体" w:hAnsi="宋体" w:eastAsia="宋体" w:cs="宋体"/>
                <w:b/>
                <w:bCs/>
                <w:sz w:val="36"/>
                <w:szCs w:val="36"/>
                <w:vertAlign w:val="baseline"/>
                <w:lang w:eastAsia="zh-CN"/>
              </w:rPr>
              <w:t>咸宁市招标投标负面清单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宋体" w:hAnsi="宋体" w:eastAsia="宋体" w:cs="宋体"/>
                <w:b/>
                <w:bCs/>
                <w:sz w:val="24"/>
                <w:szCs w:val="24"/>
                <w:vertAlign w:val="baseline"/>
              </w:rPr>
            </w:pPr>
            <w:r>
              <w:rPr>
                <w:rFonts w:hint="eastAsia" w:ascii="宋体" w:hAnsi="宋体" w:eastAsia="宋体" w:cs="宋体"/>
                <w:b/>
                <w:bCs/>
                <w:sz w:val="24"/>
                <w:szCs w:val="24"/>
                <w:vertAlign w:val="baseline"/>
              </w:rPr>
              <w:t>序号</w:t>
            </w:r>
          </w:p>
        </w:tc>
        <w:tc>
          <w:tcPr>
            <w:tcW w:w="1920"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宋体" w:hAnsi="宋体" w:eastAsia="宋体" w:cs="宋体"/>
                <w:b/>
                <w:bCs/>
                <w:sz w:val="24"/>
                <w:szCs w:val="24"/>
                <w:vertAlign w:val="baseline"/>
              </w:rPr>
            </w:pPr>
            <w:r>
              <w:rPr>
                <w:rFonts w:hint="eastAsia" w:ascii="宋体" w:hAnsi="宋体" w:eastAsia="宋体" w:cs="宋体"/>
                <w:b/>
                <w:bCs/>
                <w:sz w:val="24"/>
                <w:szCs w:val="24"/>
                <w:vertAlign w:val="baseline"/>
              </w:rPr>
              <w:t>禁止事项</w:t>
            </w:r>
          </w:p>
        </w:tc>
        <w:tc>
          <w:tcPr>
            <w:tcW w:w="7425"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宋体" w:hAnsi="宋体" w:eastAsia="宋体" w:cs="宋体"/>
                <w:b/>
                <w:bCs/>
                <w:sz w:val="24"/>
                <w:szCs w:val="24"/>
                <w:vertAlign w:val="baseline"/>
              </w:rPr>
            </w:pPr>
            <w:r>
              <w:rPr>
                <w:rFonts w:hint="eastAsia" w:ascii="宋体" w:hAnsi="宋体" w:eastAsia="宋体" w:cs="宋体"/>
                <w:b/>
                <w:bCs/>
                <w:sz w:val="24"/>
                <w:szCs w:val="24"/>
                <w:vertAlign w:val="baseline"/>
              </w:rPr>
              <w:t>具体内容</w:t>
            </w:r>
          </w:p>
        </w:tc>
        <w:tc>
          <w:tcPr>
            <w:tcW w:w="3749"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宋体" w:hAnsi="宋体" w:eastAsia="宋体" w:cs="宋体"/>
                <w:b/>
                <w:bCs/>
                <w:sz w:val="24"/>
                <w:szCs w:val="24"/>
                <w:vertAlign w:val="baseline"/>
              </w:rPr>
            </w:pPr>
            <w:r>
              <w:rPr>
                <w:rFonts w:hint="eastAsia" w:ascii="宋体" w:hAnsi="宋体" w:eastAsia="宋体" w:cs="宋体"/>
                <w:b/>
                <w:bCs/>
                <w:sz w:val="24"/>
                <w:szCs w:val="24"/>
                <w:vertAlign w:val="baseline"/>
              </w:rPr>
              <w:t>相关法律、法规和其他依据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69" w:type="dxa"/>
            <w:gridSpan w:val="4"/>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宋体" w:hAnsi="宋体" w:eastAsia="宋体" w:cs="宋体"/>
                <w:b/>
                <w:bCs/>
                <w:sz w:val="24"/>
                <w:szCs w:val="24"/>
                <w:vertAlign w:val="baseline"/>
              </w:rPr>
            </w:pPr>
            <w:r>
              <w:rPr>
                <w:rFonts w:hint="eastAsia" w:ascii="宋体" w:hAnsi="宋体" w:eastAsia="宋体" w:cs="宋体"/>
                <w:b/>
                <w:bCs/>
                <w:sz w:val="24"/>
                <w:szCs w:val="24"/>
                <w:vertAlign w:val="baseline"/>
              </w:rPr>
              <w:t>一、招标人和招标代理机构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0" w:hRule="atLeast"/>
        </w:trPr>
        <w:tc>
          <w:tcPr>
            <w:tcW w:w="975"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1920"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hint="eastAsia" w:ascii="宋体" w:hAnsi="宋体" w:eastAsia="宋体" w:cs="宋体"/>
                <w:sz w:val="24"/>
                <w:szCs w:val="24"/>
                <w:vertAlign w:val="baseline"/>
              </w:rPr>
            </w:pPr>
            <w:r>
              <w:rPr>
                <w:rFonts w:hint="eastAsia" w:ascii="仿宋" w:hAnsi="仿宋" w:eastAsia="仿宋" w:cs="仿宋"/>
                <w:sz w:val="24"/>
                <w:szCs w:val="24"/>
                <w:lang w:val="en-US" w:eastAsia="zh-CN"/>
              </w:rPr>
              <w:t>依法应当招标未招标或未进平台交易</w:t>
            </w:r>
          </w:p>
        </w:tc>
        <w:tc>
          <w:tcPr>
            <w:tcW w:w="7425"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4"/>
                <w:szCs w:val="24"/>
                <w:vertAlign w:val="baseline"/>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left"/>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1.依法必须进行招标的项目而不招标。                          2.不按项目审批、核准部门审批、核准所确定的招标范围、招标方式、招标组织形式进行招标。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leftChars="0" w:right="0" w:rightChars="0"/>
              <w:jc w:val="left"/>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3.为适用“可以不招标</w:t>
            </w:r>
            <w:r>
              <w:rPr>
                <w:rFonts w:hint="default" w:ascii="仿宋" w:hAnsi="仿宋" w:eastAsia="仿宋" w:cs="仿宋"/>
                <w:sz w:val="24"/>
                <w:szCs w:val="24"/>
                <w:lang w:val="en-US" w:eastAsia="zh-CN"/>
              </w:rPr>
              <w:t>”</w:t>
            </w:r>
            <w:r>
              <w:rPr>
                <w:rFonts w:hint="eastAsia" w:ascii="仿宋" w:hAnsi="仿宋" w:eastAsia="仿宋" w:cs="仿宋"/>
                <w:sz w:val="24"/>
                <w:szCs w:val="24"/>
                <w:lang w:val="en-US" w:eastAsia="zh-CN"/>
              </w:rPr>
              <w:t xml:space="preserve">法定条款的规定而弄虚作假。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leftChars="0" w:right="0" w:rightChars="0"/>
              <w:jc w:val="left"/>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4.对依法必须进行招标的项目利用划分标段、化整为零或者以其他任何方式规避招标。                                            5.依法应当公开招标而擅自采用邀请招标，或将应当公开招标的政府采购项目擅自采用其他方式采购。                              6.以暂估价形式包含在总承包范围内的工程、货物、服务，属于依法必须招标的范围且达到国家规定的规模标准，不依法进行招标。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leftChars="0" w:right="0" w:rightChars="0"/>
              <w:jc w:val="left"/>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7.通过资格预审的申请人少于三个或投标人少于三个时，不按法律法规的规定重新招标。</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left"/>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8.列入公共资源招标投标目录的项目，未进入公共资源交易平台交易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jc w:val="left"/>
              <w:textAlignment w:val="baseline"/>
              <w:rPr>
                <w:rFonts w:hint="eastAsia" w:ascii="宋体" w:hAnsi="宋体" w:eastAsia="宋体" w:cs="宋体"/>
                <w:sz w:val="24"/>
                <w:szCs w:val="24"/>
                <w:vertAlign w:val="baseline"/>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jc w:val="left"/>
              <w:textAlignment w:val="baseline"/>
              <w:rPr>
                <w:rFonts w:hint="eastAsia" w:ascii="宋体" w:hAnsi="宋体" w:eastAsia="宋体" w:cs="宋体"/>
                <w:sz w:val="24"/>
                <w:szCs w:val="24"/>
                <w:vertAlign w:val="baseline"/>
              </w:rPr>
            </w:pPr>
          </w:p>
        </w:tc>
        <w:tc>
          <w:tcPr>
            <w:tcW w:w="3749"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《招标投标法》第四条，第二十八条</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《招标投标法实施条例》第七条，第九条，第二十四条，第二十九条，第四十四条、第六十四条</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宋体" w:hAnsi="宋体" w:eastAsia="宋体" w:cs="宋体"/>
                <w:sz w:val="24"/>
                <w:szCs w:val="24"/>
                <w:vertAlign w:val="baseline"/>
              </w:rPr>
            </w:pPr>
            <w:r>
              <w:rPr>
                <w:rFonts w:hint="eastAsia" w:ascii="仿宋" w:hAnsi="仿宋" w:eastAsia="仿宋" w:cs="仿宋"/>
                <w:sz w:val="24"/>
                <w:szCs w:val="24"/>
                <w:lang w:val="en-US" w:eastAsia="zh-CN"/>
              </w:rPr>
              <w:t>《湖北省公共资源招标投标监督管理条例》第八条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975"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234" w:firstLineChars="100"/>
              <w:jc w:val="center"/>
              <w:textAlignment w:val="baseline"/>
              <w:rPr>
                <w:rFonts w:hint="eastAsia" w:ascii="宋体" w:hAnsi="宋体" w:eastAsia="宋体" w:cs="宋体"/>
                <w:b w:val="0"/>
                <w:bCs w:val="0"/>
                <w:sz w:val="24"/>
                <w:szCs w:val="24"/>
                <w:vertAlign w:val="baseline"/>
              </w:rPr>
            </w:pPr>
            <w:r>
              <w:rPr>
                <w:rFonts w:hint="eastAsia" w:ascii="宋体" w:hAnsi="宋体" w:eastAsia="宋体" w:cs="宋体"/>
                <w:b w:val="0"/>
                <w:bCs w:val="0"/>
                <w:spacing w:val="-3"/>
                <w:sz w:val="24"/>
                <w:szCs w:val="24"/>
              </w:rPr>
              <w:t>序</w:t>
            </w:r>
            <w:r>
              <w:rPr>
                <w:rFonts w:hint="eastAsia" w:ascii="宋体" w:hAnsi="宋体" w:eastAsia="宋体" w:cs="宋体"/>
                <w:b w:val="0"/>
                <w:bCs w:val="0"/>
                <w:spacing w:val="-2"/>
                <w:sz w:val="24"/>
                <w:szCs w:val="24"/>
              </w:rPr>
              <w:t>号</w:t>
            </w:r>
          </w:p>
        </w:tc>
        <w:tc>
          <w:tcPr>
            <w:tcW w:w="1920"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jc w:val="center"/>
              <w:textAlignment w:val="baseline"/>
              <w:rPr>
                <w:rFonts w:hint="eastAsia" w:ascii="宋体" w:hAnsi="宋体" w:eastAsia="宋体" w:cs="宋体"/>
                <w:b w:val="0"/>
                <w:bCs w:val="0"/>
                <w:sz w:val="24"/>
                <w:szCs w:val="24"/>
                <w:vertAlign w:val="baseline"/>
              </w:rPr>
            </w:pPr>
            <w:r>
              <w:rPr>
                <w:rFonts w:hint="eastAsia" w:ascii="宋体" w:hAnsi="宋体" w:eastAsia="宋体" w:cs="宋体"/>
                <w:b w:val="0"/>
                <w:bCs w:val="0"/>
                <w:spacing w:val="-2"/>
                <w:sz w:val="24"/>
                <w:szCs w:val="24"/>
              </w:rPr>
              <w:t>禁止事项</w:t>
            </w:r>
          </w:p>
        </w:tc>
        <w:tc>
          <w:tcPr>
            <w:tcW w:w="7425"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jc w:val="center"/>
              <w:textAlignment w:val="baseline"/>
              <w:rPr>
                <w:rFonts w:hint="eastAsia" w:ascii="宋体" w:hAnsi="宋体" w:eastAsia="宋体" w:cs="宋体"/>
                <w:b w:val="0"/>
                <w:bCs w:val="0"/>
                <w:sz w:val="24"/>
                <w:szCs w:val="24"/>
                <w:vertAlign w:val="baseline"/>
              </w:rPr>
            </w:pPr>
            <w:r>
              <w:rPr>
                <w:rFonts w:hint="eastAsia" w:ascii="宋体" w:hAnsi="宋体" w:eastAsia="宋体" w:cs="宋体"/>
                <w:b w:val="0"/>
                <w:bCs w:val="0"/>
                <w:spacing w:val="12"/>
                <w:sz w:val="24"/>
                <w:szCs w:val="24"/>
              </w:rPr>
              <w:t>具</w:t>
            </w:r>
            <w:r>
              <w:rPr>
                <w:rFonts w:hint="eastAsia" w:ascii="宋体" w:hAnsi="宋体" w:eastAsia="宋体" w:cs="宋体"/>
                <w:b w:val="0"/>
                <w:bCs w:val="0"/>
                <w:spacing w:val="11"/>
                <w:sz w:val="24"/>
                <w:szCs w:val="24"/>
              </w:rPr>
              <w:t>体内容</w:t>
            </w:r>
          </w:p>
        </w:tc>
        <w:tc>
          <w:tcPr>
            <w:tcW w:w="3749"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jc w:val="center"/>
              <w:textAlignment w:val="baseline"/>
              <w:rPr>
                <w:rFonts w:hint="eastAsia" w:ascii="宋体" w:hAnsi="宋体" w:eastAsia="宋体" w:cs="宋体"/>
                <w:b w:val="0"/>
                <w:bCs w:val="0"/>
                <w:sz w:val="24"/>
                <w:szCs w:val="24"/>
                <w:vertAlign w:val="baseline"/>
              </w:rPr>
            </w:pPr>
            <w:r>
              <w:rPr>
                <w:rFonts w:hint="eastAsia" w:ascii="宋体" w:hAnsi="宋体" w:eastAsia="宋体" w:cs="宋体"/>
                <w:b w:val="0"/>
                <w:bCs w:val="0"/>
                <w:spacing w:val="-1"/>
                <w:sz w:val="24"/>
                <w:szCs w:val="24"/>
              </w:rPr>
              <w:t>相关法律、法规和其</w:t>
            </w:r>
            <w:r>
              <w:rPr>
                <w:rFonts w:hint="eastAsia" w:ascii="宋体" w:hAnsi="宋体" w:eastAsia="宋体" w:cs="宋体"/>
                <w:b w:val="0"/>
                <w:bCs w:val="0"/>
                <w:sz w:val="24"/>
                <w:szCs w:val="24"/>
              </w:rPr>
              <w:t>他依据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right="0"/>
              <w:jc w:val="center"/>
              <w:textAlignment w:val="baseline"/>
              <w:rPr>
                <w:rFonts w:hint="eastAsia" w:ascii="仿宋" w:hAnsi="仿宋" w:eastAsia="仿宋" w:cs="仿宋"/>
                <w:sz w:val="24"/>
                <w:szCs w:val="24"/>
                <w:vertAlign w:val="baseline"/>
              </w:rPr>
            </w:pPr>
            <w:r>
              <w:rPr>
                <w:rFonts w:hint="eastAsia" w:ascii="宋体" w:hAnsi="宋体" w:eastAsia="宋体" w:cs="宋体"/>
                <w:sz w:val="24"/>
                <w:szCs w:val="24"/>
              </w:rPr>
              <w:t>2</w:t>
            </w:r>
          </w:p>
        </w:tc>
        <w:tc>
          <w:tcPr>
            <w:tcW w:w="1920"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发布公告不规范</w:t>
            </w:r>
          </w:p>
        </w:tc>
        <w:tc>
          <w:tcPr>
            <w:tcW w:w="7425"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lang w:val="en-US" w:eastAsia="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1.依法公开招标的项目，未在“中国招标投标公共服务平台”或者项目所在地省级电子招标投标公共服务平台发布招标公告。</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2.在不同媒介发布的同一招标项目的资格预审公告或者招标公告的内容不一致。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3.依法公开招标的项目，发布的资格预审公告或者招标公告内容不符合招标投标法律法规的要求。</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4.资格预审公告或者招标公告中有关获取资格预审文件或者招标文件的时限不符合招标投标法律法规规定。</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5.设置投标报名环节。</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lang w:val="en-US" w:eastAsia="zh-CN"/>
              </w:rPr>
            </w:pPr>
          </w:p>
        </w:tc>
        <w:tc>
          <w:tcPr>
            <w:tcW w:w="3749"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《招标投标法》第十六条</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《招标投标法实施条例》第十五条、十六条</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宋体" w:hAnsi="宋体" w:eastAsia="宋体" w:cs="宋体"/>
                <w:sz w:val="24"/>
                <w:szCs w:val="24"/>
                <w:lang w:eastAsia="zh-CN"/>
              </w:rPr>
            </w:pPr>
            <w:r>
              <w:rPr>
                <w:rFonts w:hint="eastAsia" w:ascii="仿宋" w:hAnsi="仿宋" w:eastAsia="仿宋" w:cs="仿宋"/>
                <w:sz w:val="24"/>
                <w:szCs w:val="24"/>
                <w:lang w:val="en-US" w:eastAsia="zh-CN"/>
              </w:rPr>
              <w:t>《招标公告和公示信息发布管理办法》第五条、第八条、第十条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jc w:val="center"/>
              <w:textAlignment w:val="baseline"/>
              <w:rPr>
                <w:rFonts w:hint="eastAsia" w:ascii="仿宋" w:hAnsi="仿宋" w:eastAsia="仿宋" w:cs="仿宋"/>
                <w:sz w:val="24"/>
                <w:szCs w:val="24"/>
                <w:vertAlign w:val="baseline"/>
              </w:rPr>
            </w:pPr>
            <w:r>
              <w:rPr>
                <w:rFonts w:hint="eastAsia" w:ascii="宋体" w:hAnsi="宋体" w:eastAsia="宋体" w:cs="宋体"/>
                <w:sz w:val="24"/>
                <w:szCs w:val="24"/>
              </w:rPr>
              <w:t>3</w:t>
            </w:r>
          </w:p>
        </w:tc>
        <w:tc>
          <w:tcPr>
            <w:tcW w:w="1920"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rightChars="0"/>
              <w:jc w:val="left"/>
              <w:textAlignment w:val="baseline"/>
              <w:rPr>
                <w:rFonts w:hint="eastAsia" w:ascii="仿宋" w:hAnsi="仿宋" w:eastAsia="仿宋" w:cs="仿宋"/>
                <w:sz w:val="24"/>
                <w:szCs w:val="24"/>
                <w:vertAlign w:val="baseline"/>
              </w:rPr>
            </w:pPr>
            <w:r>
              <w:rPr>
                <w:rFonts w:hint="eastAsia" w:ascii="仿宋" w:hAnsi="仿宋" w:eastAsia="仿宋" w:cs="仿宋"/>
                <w:sz w:val="24"/>
                <w:szCs w:val="24"/>
                <w:lang w:val="en-US" w:eastAsia="zh-CN"/>
              </w:rPr>
              <w:t>不按规定编制资格预审文件、招标文件</w:t>
            </w:r>
          </w:p>
        </w:tc>
        <w:tc>
          <w:tcPr>
            <w:tcW w:w="7425"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left="0" w:right="0" w:rightChars="0"/>
              <w:jc w:val="both"/>
              <w:textAlignment w:val="baseline"/>
              <w:rPr>
                <w:rFonts w:hint="eastAsia" w:ascii="宋体" w:hAnsi="宋体" w:eastAsia="宋体" w:cs="宋体"/>
                <w:sz w:val="24"/>
                <w:szCs w:val="24"/>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left"/>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1.依法必须招标的项目，不按规定使用发展改革部门、综合监管机构会同有关行政监督部门制定的标准文本或者示范文本来编制资格预审文件、招标文件。</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left"/>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2.设有最高投标限价，不在招标文件中明确最高投标限价或者最高投标限价的计算方法。</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left"/>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3.在招标文件中设置最低限价。                                4.以投标报价是否接近标底作为中标条件，或者以投标报价超过标底上下浮动范围作为否决投标的条件。</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left="0" w:right="0" w:rightChars="0"/>
              <w:jc w:val="both"/>
              <w:textAlignment w:val="baseline"/>
              <w:rPr>
                <w:rFonts w:hint="eastAsia" w:ascii="宋体" w:hAnsi="宋体" w:eastAsia="宋体" w:cs="宋体"/>
                <w:sz w:val="24"/>
                <w:szCs w:val="24"/>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left="0" w:right="0" w:rightChars="0"/>
              <w:jc w:val="both"/>
              <w:textAlignment w:val="baseline"/>
              <w:rPr>
                <w:rFonts w:hint="eastAsia" w:ascii="宋体" w:hAnsi="宋体" w:eastAsia="宋体" w:cs="宋体"/>
                <w:sz w:val="24"/>
                <w:szCs w:val="24"/>
              </w:rPr>
            </w:pPr>
          </w:p>
        </w:tc>
        <w:tc>
          <w:tcPr>
            <w:tcW w:w="3749"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hanging="107" w:firstLineChars="0"/>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lang w:val="en-US" w:eastAsia="zh-CN"/>
              </w:rPr>
              <w:t>《招标投标法实施条例》第十五条，第二十七条，第五十条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975" w:type="dxa"/>
            <w:noWrap w:val="0"/>
            <w:vAlign w:val="center"/>
          </w:tcPr>
          <w:p>
            <w:pPr>
              <w:widowControl w:val="0"/>
              <w:spacing w:before="117" w:line="221" w:lineRule="auto"/>
              <w:ind w:left="198" w:leftChars="0"/>
              <w:jc w:val="both"/>
              <w:rPr>
                <w:rFonts w:hint="eastAsia" w:ascii="仿宋" w:hAnsi="仿宋" w:eastAsia="仿宋" w:cs="仿宋"/>
                <w:sz w:val="32"/>
                <w:szCs w:val="32"/>
                <w:vertAlign w:val="baseline"/>
              </w:rPr>
            </w:pPr>
            <w:r>
              <w:rPr>
                <w:rFonts w:hint="eastAsia" w:ascii="宋体" w:hAnsi="宋体" w:eastAsia="宋体" w:cs="宋体"/>
                <w:b w:val="0"/>
                <w:bCs w:val="0"/>
                <w:spacing w:val="-3"/>
                <w:sz w:val="24"/>
                <w:szCs w:val="24"/>
              </w:rPr>
              <w:t>序</w:t>
            </w:r>
            <w:r>
              <w:rPr>
                <w:rFonts w:hint="eastAsia" w:ascii="宋体" w:hAnsi="宋体" w:eastAsia="宋体" w:cs="宋体"/>
                <w:b w:val="0"/>
                <w:bCs w:val="0"/>
                <w:spacing w:val="-2"/>
                <w:sz w:val="24"/>
                <w:szCs w:val="24"/>
              </w:rPr>
              <w:t>号</w:t>
            </w:r>
          </w:p>
        </w:tc>
        <w:tc>
          <w:tcPr>
            <w:tcW w:w="1920" w:type="dxa"/>
            <w:noWrap w:val="0"/>
            <w:vAlign w:val="center"/>
          </w:tcPr>
          <w:p>
            <w:pPr>
              <w:widowControl w:val="0"/>
              <w:spacing w:before="116" w:line="219" w:lineRule="auto"/>
              <w:ind w:left="324" w:leftChars="0"/>
              <w:jc w:val="both"/>
              <w:rPr>
                <w:rFonts w:hint="eastAsia" w:ascii="仿宋" w:hAnsi="仿宋" w:eastAsia="仿宋" w:cs="仿宋"/>
                <w:sz w:val="32"/>
                <w:szCs w:val="32"/>
                <w:vertAlign w:val="baseline"/>
              </w:rPr>
            </w:pPr>
            <w:r>
              <w:rPr>
                <w:rFonts w:hint="eastAsia" w:ascii="宋体" w:hAnsi="宋体" w:eastAsia="宋体" w:cs="宋体"/>
                <w:b w:val="0"/>
                <w:bCs w:val="0"/>
                <w:spacing w:val="-2"/>
                <w:sz w:val="24"/>
                <w:szCs w:val="24"/>
              </w:rPr>
              <w:t>禁止事项</w:t>
            </w:r>
          </w:p>
        </w:tc>
        <w:tc>
          <w:tcPr>
            <w:tcW w:w="7425" w:type="dxa"/>
            <w:noWrap w:val="0"/>
            <w:vAlign w:val="center"/>
          </w:tcPr>
          <w:p>
            <w:pPr>
              <w:widowControl w:val="0"/>
              <w:spacing w:before="116" w:line="219" w:lineRule="auto"/>
              <w:ind w:left="2845" w:leftChars="0"/>
              <w:jc w:val="both"/>
              <w:rPr>
                <w:rFonts w:hint="eastAsia" w:ascii="仿宋" w:hAnsi="仿宋" w:eastAsia="仿宋" w:cs="仿宋"/>
                <w:sz w:val="32"/>
                <w:szCs w:val="32"/>
                <w:vertAlign w:val="baseline"/>
              </w:rPr>
            </w:pPr>
            <w:r>
              <w:rPr>
                <w:rFonts w:hint="eastAsia" w:ascii="宋体" w:hAnsi="宋体" w:eastAsia="宋体" w:cs="宋体"/>
                <w:b w:val="0"/>
                <w:bCs w:val="0"/>
                <w:spacing w:val="12"/>
                <w:sz w:val="24"/>
                <w:szCs w:val="24"/>
              </w:rPr>
              <w:t>具</w:t>
            </w:r>
            <w:r>
              <w:rPr>
                <w:rFonts w:hint="eastAsia" w:ascii="宋体" w:hAnsi="宋体" w:eastAsia="宋体" w:cs="宋体"/>
                <w:b w:val="0"/>
                <w:bCs w:val="0"/>
                <w:spacing w:val="11"/>
                <w:sz w:val="24"/>
                <w:szCs w:val="24"/>
              </w:rPr>
              <w:t>体内容</w:t>
            </w:r>
          </w:p>
        </w:tc>
        <w:tc>
          <w:tcPr>
            <w:tcW w:w="3749" w:type="dxa"/>
            <w:noWrap w:val="0"/>
            <w:vAlign w:val="center"/>
          </w:tcPr>
          <w:p>
            <w:pPr>
              <w:widowControl w:val="0"/>
              <w:spacing w:before="114" w:line="219" w:lineRule="auto"/>
              <w:ind w:left="410" w:leftChars="0"/>
              <w:jc w:val="both"/>
              <w:rPr>
                <w:rFonts w:hint="eastAsia" w:ascii="仿宋" w:hAnsi="仿宋" w:eastAsia="仿宋" w:cs="仿宋"/>
                <w:sz w:val="32"/>
                <w:szCs w:val="32"/>
                <w:vertAlign w:val="baseline"/>
              </w:rPr>
            </w:pPr>
            <w:r>
              <w:rPr>
                <w:rFonts w:hint="eastAsia" w:ascii="宋体" w:hAnsi="宋体" w:eastAsia="宋体" w:cs="宋体"/>
                <w:b w:val="0"/>
                <w:bCs w:val="0"/>
                <w:spacing w:val="-1"/>
                <w:sz w:val="24"/>
                <w:szCs w:val="24"/>
              </w:rPr>
              <w:t>相关法律、法规和其</w:t>
            </w:r>
            <w:r>
              <w:rPr>
                <w:rFonts w:hint="eastAsia" w:ascii="宋体" w:hAnsi="宋体" w:eastAsia="宋体" w:cs="宋体"/>
                <w:b w:val="0"/>
                <w:bCs w:val="0"/>
                <w:sz w:val="24"/>
                <w:szCs w:val="24"/>
              </w:rPr>
              <w:t>他依据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0" w:hRule="atLeast"/>
        </w:trPr>
        <w:tc>
          <w:tcPr>
            <w:tcW w:w="975" w:type="dxa"/>
            <w:tcBorders>
              <w:bottom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jc w:val="center"/>
              <w:textAlignment w:val="baseline"/>
              <w:rPr>
                <w:rFonts w:hint="eastAsia" w:ascii="仿宋" w:hAnsi="仿宋" w:eastAsia="仿宋" w:cs="仿宋"/>
                <w:sz w:val="24"/>
                <w:szCs w:val="24"/>
                <w:vertAlign w:val="baseline"/>
              </w:rPr>
            </w:pPr>
            <w:r>
              <w:rPr>
                <w:rFonts w:hint="eastAsia" w:ascii="宋体" w:hAnsi="宋体" w:eastAsia="宋体" w:cs="宋体"/>
                <w:sz w:val="24"/>
                <w:szCs w:val="24"/>
              </w:rPr>
              <w:t>4</w:t>
            </w:r>
          </w:p>
        </w:tc>
        <w:tc>
          <w:tcPr>
            <w:tcW w:w="1920" w:type="dxa"/>
            <w:tcBorders>
              <w:bottom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rightChars="0"/>
              <w:jc w:val="left"/>
              <w:textAlignment w:val="baseline"/>
              <w:rPr>
                <w:rFonts w:hint="eastAsia" w:ascii="仿宋" w:hAnsi="仿宋" w:eastAsia="仿宋" w:cs="仿宋"/>
                <w:sz w:val="24"/>
                <w:szCs w:val="24"/>
                <w:vertAlign w:val="baseline"/>
              </w:rPr>
            </w:pPr>
            <w:r>
              <w:rPr>
                <w:rFonts w:hint="eastAsia" w:ascii="仿宋" w:hAnsi="仿宋" w:eastAsia="仿宋" w:cs="仿宋"/>
                <w:sz w:val="24"/>
                <w:szCs w:val="24"/>
                <w:lang w:val="en-US" w:eastAsia="zh-CN"/>
              </w:rPr>
              <w:t>以不合理的条件限制、排斥投标人或潜在投标人</w:t>
            </w:r>
          </w:p>
        </w:tc>
        <w:tc>
          <w:tcPr>
            <w:tcW w:w="7425" w:type="dxa"/>
            <w:tcBorders>
              <w:bottom w:val="single" w:color="auto" w:sz="4" w:space="0"/>
            </w:tcBorders>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exact"/>
              <w:ind w:left="0" w:leftChars="0" w:right="0" w:firstLine="0" w:firstLineChars="0"/>
              <w:jc w:val="left"/>
              <w:textAlignment w:val="baseline"/>
              <w:rPr>
                <w:rFonts w:hint="eastAsia" w:ascii="仿宋" w:hAnsi="仿宋" w:eastAsia="仿宋" w:cs="仿宋"/>
                <w:sz w:val="18"/>
                <w:szCs w:val="18"/>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1.就同一招标项目向潜在投标人或者投标人提供有差别的项目信息。                                                      2.设定的资格、技术、商务条件与招标项目的具体特点和实际需要不相适应或者与合同履行无关。                            </w:t>
            </w:r>
          </w:p>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3.依法必须进行招标的项目以特定行政区域或者特定行业的业绩、奖项作为加分条件或者中标条件。                        </w:t>
            </w:r>
          </w:p>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4.对潜在投标人或者投标人采取不同的资格审查或者评标标准。                                                      5.限定或者指定特定的专利、商标、品牌、原产地或者供应商。</w:t>
            </w:r>
          </w:p>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6.依法必须进行招标的项目非法限定潜在投标人或者投标人的所有制形式或者组织形式。                                 </w:t>
            </w:r>
          </w:p>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7.强制要求投标人组成联合体投标。</w:t>
            </w:r>
          </w:p>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8.将国家已经明令取消的资质资格作为投标条件、加分条件、中标条件。在国家已经明令取消资质资格的领域，将其他资质资格作为投标条件、加分条件、中标条件。</w:t>
            </w:r>
            <w:bookmarkStart w:id="0" w:name="_GoBack"/>
            <w:bookmarkEnd w:id="0"/>
          </w:p>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9.将政府部门、行业协会商会或者其他机构对投标人作出的荣誉奖励和慈善公益证明等作为投标条件、中标条件。</w:t>
            </w:r>
          </w:p>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10.要求投标人在本地注册设立子公司、分公司、分支机构，在本地拥有一定办公面积，在本地缴纳社会保险等。</w:t>
            </w:r>
          </w:p>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11.政府相关官网可以查询的资质信息，要求投标企业在投标中提供证书原件。对按规定可以采用“多证合一”电子证照的，要求必须提供纸质证照。</w:t>
            </w:r>
          </w:p>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12.对于初始注册建筑类最低资质等级的企业能够承揽的政府投资工程建设项目，在招标文件中提出工程业绩要求或设置明显不利于初始注册企业的招标条件。</w:t>
            </w:r>
          </w:p>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13.将资格预审文件和招标文件发布截止时间、递交资格预审申请文件截止时间、投标截止时间设在国家法定休假日。</w:t>
            </w:r>
          </w:p>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14.施工总承包招标项目，要求投标人具备总承包资质范围内的专业资质。</w:t>
            </w:r>
          </w:p>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15.同一招标项目要求投标人具备多项资质的，排斥联合体投标。</w:t>
            </w:r>
          </w:p>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jc w:val="both"/>
              <w:textAlignment w:val="baseline"/>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16.招标人要求投标人具备类似业绩的，设置的业绩条件超过该标段相关指标要求。</w:t>
            </w:r>
          </w:p>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17.以其他不合理条件限制、排斥潜在投标人或者投标人。</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exact"/>
              <w:ind w:left="0" w:leftChars="0" w:right="0" w:firstLine="0" w:firstLineChars="0"/>
              <w:jc w:val="left"/>
              <w:textAlignment w:val="baseline"/>
              <w:rPr>
                <w:rFonts w:hint="eastAsia" w:ascii="仿宋" w:hAnsi="仿宋" w:eastAsia="仿宋" w:cs="仿宋"/>
                <w:sz w:val="18"/>
                <w:szCs w:val="18"/>
                <w:lang w:val="en-US" w:eastAsia="zh-CN"/>
              </w:rPr>
            </w:pPr>
          </w:p>
        </w:tc>
        <w:tc>
          <w:tcPr>
            <w:tcW w:w="3749" w:type="dxa"/>
            <w:tcBorders>
              <w:bottom w:val="single" w:color="auto" w:sz="4" w:space="0"/>
            </w:tcBorders>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《招标投标法》第十八条，第二十条，第三十一条</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《招标投标法实施条例》第二十四条，第三十二条，第三十三条</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《工程项目招标投标领域营商环境专项整治工作方案》</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微软雅黑" w:cs="仿宋"/>
                <w:sz w:val="24"/>
                <w:szCs w:val="24"/>
                <w:lang w:val="en-US" w:eastAsia="zh-CN"/>
              </w:rPr>
            </w:pPr>
            <w:r>
              <w:rPr>
                <w:rFonts w:hint="eastAsia" w:ascii="仿宋" w:hAnsi="仿宋" w:eastAsia="仿宋" w:cs="仿宋"/>
                <w:sz w:val="24"/>
                <w:szCs w:val="24"/>
                <w:lang w:val="en-US" w:eastAsia="zh-CN"/>
              </w:rPr>
              <w:t>《建筑业企业资质标准》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975" w:type="dxa"/>
            <w:tcBorders>
              <w:top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right="0"/>
              <w:jc w:val="center"/>
              <w:textAlignment w:val="baseline"/>
              <w:rPr>
                <w:rFonts w:hint="eastAsia" w:ascii="仿宋" w:hAnsi="仿宋" w:eastAsia="仿宋" w:cs="仿宋"/>
                <w:sz w:val="24"/>
                <w:szCs w:val="24"/>
                <w:vertAlign w:val="baseline"/>
              </w:rPr>
            </w:pPr>
            <w:r>
              <w:rPr>
                <w:rFonts w:ascii="宋体" w:hAnsi="宋体" w:eastAsia="宋体" w:cs="宋体"/>
                <w:sz w:val="24"/>
                <w:szCs w:val="24"/>
              </w:rPr>
              <w:t>5</w:t>
            </w:r>
          </w:p>
        </w:tc>
        <w:tc>
          <w:tcPr>
            <w:tcW w:w="1920"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rightChars="0" w:firstLine="10" w:firstLineChars="0"/>
              <w:jc w:val="left"/>
              <w:textAlignment w:val="baseline"/>
              <w:rPr>
                <w:rFonts w:hint="eastAsia" w:ascii="仿宋" w:hAnsi="仿宋" w:eastAsia="仿宋" w:cs="仿宋"/>
                <w:sz w:val="24"/>
                <w:szCs w:val="24"/>
                <w:vertAlign w:val="baseline"/>
              </w:rPr>
            </w:pPr>
            <w:r>
              <w:rPr>
                <w:rFonts w:hint="eastAsia" w:ascii="仿宋" w:hAnsi="仿宋" w:eastAsia="仿宋" w:cs="仿宋"/>
                <w:sz w:val="24"/>
                <w:szCs w:val="24"/>
                <w:lang w:val="en-US" w:eastAsia="zh-CN"/>
              </w:rPr>
              <w:t>违法组织投标人踏勘现场</w:t>
            </w:r>
          </w:p>
        </w:tc>
        <w:tc>
          <w:tcPr>
            <w:tcW w:w="7425"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lang w:val="en-US" w:eastAsia="zh-CN"/>
              </w:rPr>
              <w:t>组织单个或者部分潜在投标人踏勘项目现场。</w:t>
            </w:r>
          </w:p>
        </w:tc>
        <w:tc>
          <w:tcPr>
            <w:tcW w:w="3749" w:type="dxa"/>
            <w:tcBorders>
              <w:top w:val="single" w:color="auto" w:sz="4" w:space="0"/>
              <w:lef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rightChars="0" w:hanging="119" w:firstLineChars="0"/>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lang w:val="en-US" w:eastAsia="zh-CN"/>
              </w:rPr>
              <w:t>《招标投标法实施条例》第二十八条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975"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center"/>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1920"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透露潜在投标人信息等情况</w:t>
            </w:r>
          </w:p>
        </w:tc>
        <w:tc>
          <w:tcPr>
            <w:tcW w:w="7425"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lang w:val="en-US" w:eastAsia="zh-CN"/>
              </w:rPr>
              <w:t>向他人透露已获取招标文件的潜在投标人的信息以及可能影响公平竞争的有关招标投标的其他情况。</w:t>
            </w:r>
          </w:p>
        </w:tc>
        <w:tc>
          <w:tcPr>
            <w:tcW w:w="3749"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rightChars="0" w:hanging="119" w:firstLineChars="0"/>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lang w:val="en-US" w:eastAsia="zh-CN"/>
              </w:rPr>
              <w:t>《招标投标法》第二十二条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5" w:hRule="atLeast"/>
        </w:trPr>
        <w:tc>
          <w:tcPr>
            <w:tcW w:w="975"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right="0"/>
              <w:jc w:val="center"/>
              <w:textAlignment w:val="baseline"/>
              <w:rPr>
                <w:rFonts w:hint="eastAsia" w:ascii="仿宋" w:hAnsi="仿宋" w:eastAsia="仿宋" w:cs="仿宋"/>
                <w:sz w:val="24"/>
                <w:szCs w:val="24"/>
                <w:vertAlign w:val="baseline"/>
              </w:rPr>
            </w:pPr>
            <w:r>
              <w:rPr>
                <w:rFonts w:ascii="宋体" w:hAnsi="宋体" w:eastAsia="宋体" w:cs="宋体"/>
                <w:sz w:val="24"/>
                <w:szCs w:val="24"/>
              </w:rPr>
              <w:t>7</w:t>
            </w:r>
          </w:p>
        </w:tc>
        <w:tc>
          <w:tcPr>
            <w:tcW w:w="1920"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rightChars="0" w:firstLine="10" w:firstLineChars="0"/>
              <w:jc w:val="left"/>
              <w:textAlignment w:val="baseline"/>
              <w:rPr>
                <w:rFonts w:hint="eastAsia" w:ascii="仿宋" w:hAnsi="仿宋" w:eastAsia="仿宋" w:cs="仿宋"/>
                <w:sz w:val="24"/>
                <w:szCs w:val="24"/>
                <w:vertAlign w:val="baseline"/>
              </w:rPr>
            </w:pPr>
            <w:r>
              <w:rPr>
                <w:rFonts w:hint="eastAsia" w:ascii="仿宋" w:hAnsi="仿宋" w:eastAsia="仿宋" w:cs="仿宋"/>
                <w:sz w:val="24"/>
                <w:szCs w:val="24"/>
                <w:lang w:val="en-US" w:eastAsia="zh-CN"/>
              </w:rPr>
              <w:t>不按规定发售资格预审文件或招标文件</w:t>
            </w:r>
          </w:p>
        </w:tc>
        <w:tc>
          <w:tcPr>
            <w:tcW w:w="7425"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lang w:val="en-US" w:eastAsia="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1.不按资格预审公告、招标公告或者投标邀请书规定的时间、地点发售(发布)资格预审文件或者招标文件。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leftChars="0" w:right="0" w:rightChars="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2.资格预审文件或招标文件发售期少于5日，电子文件收取费用或纸质文件售价明显高于印刷和邮寄成本，以营利为目的。</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leftChars="0" w:right="0" w:rightChars="0"/>
              <w:jc w:val="both"/>
              <w:textAlignment w:val="baseline"/>
              <w:rPr>
                <w:rFonts w:hint="eastAsia" w:ascii="仿宋" w:hAnsi="仿宋" w:eastAsia="仿宋" w:cs="仿宋"/>
                <w:sz w:val="24"/>
                <w:szCs w:val="24"/>
                <w:lang w:val="en-US" w:eastAsia="zh-CN"/>
              </w:rPr>
            </w:pPr>
          </w:p>
        </w:tc>
        <w:tc>
          <w:tcPr>
            <w:tcW w:w="3749"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rightChars="0" w:hanging="119" w:firstLineChars="0"/>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lang w:val="en-US" w:eastAsia="zh-CN"/>
              </w:rPr>
              <w:t>《招标投标法实施条例》第十六条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975" w:type="dxa"/>
            <w:noWrap w:val="0"/>
            <w:vAlign w:val="center"/>
          </w:tcPr>
          <w:p>
            <w:pPr>
              <w:widowControl w:val="0"/>
              <w:spacing w:before="117" w:line="221" w:lineRule="auto"/>
              <w:ind w:left="198" w:leftChars="0"/>
              <w:jc w:val="both"/>
              <w:rPr>
                <w:rFonts w:hint="eastAsia" w:ascii="仿宋" w:hAnsi="仿宋" w:eastAsia="仿宋" w:cs="仿宋"/>
                <w:snapToGrid w:val="0"/>
                <w:color w:val="000000"/>
                <w:kern w:val="0"/>
                <w:sz w:val="24"/>
                <w:szCs w:val="24"/>
                <w:vertAlign w:val="baseline"/>
              </w:rPr>
            </w:pPr>
            <w:r>
              <w:rPr>
                <w:rFonts w:hint="eastAsia" w:ascii="宋体" w:hAnsi="宋体" w:eastAsia="宋体" w:cs="宋体"/>
                <w:b w:val="0"/>
                <w:bCs w:val="0"/>
                <w:spacing w:val="-3"/>
                <w:sz w:val="24"/>
                <w:szCs w:val="24"/>
              </w:rPr>
              <w:t>序</w:t>
            </w:r>
            <w:r>
              <w:rPr>
                <w:rFonts w:hint="eastAsia" w:ascii="宋体" w:hAnsi="宋体" w:eastAsia="宋体" w:cs="宋体"/>
                <w:b w:val="0"/>
                <w:bCs w:val="0"/>
                <w:spacing w:val="-2"/>
                <w:sz w:val="24"/>
                <w:szCs w:val="24"/>
              </w:rPr>
              <w:t>号</w:t>
            </w:r>
          </w:p>
        </w:tc>
        <w:tc>
          <w:tcPr>
            <w:tcW w:w="1920" w:type="dxa"/>
            <w:noWrap w:val="0"/>
            <w:vAlign w:val="center"/>
          </w:tcPr>
          <w:p>
            <w:pPr>
              <w:widowControl w:val="0"/>
              <w:spacing w:before="116" w:line="219" w:lineRule="auto"/>
              <w:ind w:left="324" w:leftChars="0"/>
              <w:jc w:val="both"/>
              <w:rPr>
                <w:rFonts w:hint="eastAsia" w:ascii="仿宋" w:hAnsi="仿宋" w:eastAsia="仿宋" w:cs="仿宋"/>
                <w:snapToGrid w:val="0"/>
                <w:color w:val="000000"/>
                <w:kern w:val="0"/>
                <w:sz w:val="24"/>
                <w:szCs w:val="24"/>
                <w:vertAlign w:val="baseline"/>
                <w:lang w:val="en-US" w:eastAsia="zh-CN"/>
              </w:rPr>
            </w:pPr>
            <w:r>
              <w:rPr>
                <w:rFonts w:hint="eastAsia" w:ascii="宋体" w:hAnsi="宋体" w:eastAsia="宋体" w:cs="宋体"/>
                <w:b w:val="0"/>
                <w:bCs w:val="0"/>
                <w:spacing w:val="-2"/>
                <w:sz w:val="24"/>
                <w:szCs w:val="24"/>
              </w:rPr>
              <w:t>禁止事项</w:t>
            </w:r>
          </w:p>
        </w:tc>
        <w:tc>
          <w:tcPr>
            <w:tcW w:w="7425" w:type="dxa"/>
            <w:noWrap w:val="0"/>
            <w:vAlign w:val="center"/>
          </w:tcPr>
          <w:p>
            <w:pPr>
              <w:widowControl w:val="0"/>
              <w:spacing w:before="116" w:line="219" w:lineRule="auto"/>
              <w:ind w:left="2845" w:leftChars="0"/>
              <w:jc w:val="both"/>
              <w:rPr>
                <w:rFonts w:hint="eastAsia" w:ascii="仿宋" w:hAnsi="仿宋" w:eastAsia="仿宋" w:cs="仿宋"/>
                <w:snapToGrid w:val="0"/>
                <w:color w:val="000000"/>
                <w:kern w:val="0"/>
                <w:sz w:val="24"/>
                <w:szCs w:val="24"/>
                <w:vertAlign w:val="baseline"/>
                <w:lang w:val="en-US" w:eastAsia="zh-CN"/>
              </w:rPr>
            </w:pPr>
            <w:r>
              <w:rPr>
                <w:rFonts w:hint="eastAsia" w:ascii="宋体" w:hAnsi="宋体" w:eastAsia="宋体" w:cs="宋体"/>
                <w:b w:val="0"/>
                <w:bCs w:val="0"/>
                <w:spacing w:val="12"/>
                <w:sz w:val="24"/>
                <w:szCs w:val="24"/>
              </w:rPr>
              <w:t>具</w:t>
            </w:r>
            <w:r>
              <w:rPr>
                <w:rFonts w:hint="eastAsia" w:ascii="宋体" w:hAnsi="宋体" w:eastAsia="宋体" w:cs="宋体"/>
                <w:b w:val="0"/>
                <w:bCs w:val="0"/>
                <w:spacing w:val="11"/>
                <w:sz w:val="24"/>
                <w:szCs w:val="24"/>
              </w:rPr>
              <w:t>体内容</w:t>
            </w:r>
          </w:p>
        </w:tc>
        <w:tc>
          <w:tcPr>
            <w:tcW w:w="3749" w:type="dxa"/>
            <w:noWrap w:val="0"/>
            <w:vAlign w:val="center"/>
          </w:tcPr>
          <w:p>
            <w:pPr>
              <w:widowControl w:val="0"/>
              <w:spacing w:before="114" w:line="219" w:lineRule="auto"/>
              <w:ind w:left="410" w:leftChars="0"/>
              <w:jc w:val="both"/>
              <w:rPr>
                <w:rFonts w:hint="eastAsia" w:ascii="仿宋" w:hAnsi="仿宋" w:eastAsia="仿宋" w:cs="仿宋"/>
                <w:snapToGrid w:val="0"/>
                <w:color w:val="000000"/>
                <w:kern w:val="0"/>
                <w:sz w:val="24"/>
                <w:szCs w:val="24"/>
                <w:vertAlign w:val="baseline"/>
                <w:lang w:val="en-US" w:eastAsia="zh-CN"/>
              </w:rPr>
            </w:pPr>
            <w:r>
              <w:rPr>
                <w:rFonts w:hint="eastAsia" w:ascii="宋体" w:hAnsi="宋体" w:eastAsia="宋体" w:cs="宋体"/>
                <w:b w:val="0"/>
                <w:bCs w:val="0"/>
                <w:spacing w:val="-1"/>
                <w:sz w:val="24"/>
                <w:szCs w:val="24"/>
              </w:rPr>
              <w:t>相关法律、法规和其</w:t>
            </w:r>
            <w:r>
              <w:rPr>
                <w:rFonts w:hint="eastAsia" w:ascii="宋体" w:hAnsi="宋体" w:eastAsia="宋体" w:cs="宋体"/>
                <w:b w:val="0"/>
                <w:bCs w:val="0"/>
                <w:sz w:val="24"/>
                <w:szCs w:val="24"/>
              </w:rPr>
              <w:t>他依据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975"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right="0"/>
              <w:jc w:val="center"/>
              <w:textAlignment w:val="baseline"/>
              <w:rPr>
                <w:rFonts w:hint="eastAsia" w:ascii="仿宋" w:hAnsi="仿宋" w:eastAsia="仿宋" w:cs="仿宋"/>
                <w:sz w:val="24"/>
                <w:szCs w:val="24"/>
                <w:vertAlign w:val="baseline"/>
              </w:rPr>
            </w:pPr>
            <w:r>
              <w:rPr>
                <w:rFonts w:ascii="宋体" w:hAnsi="宋体" w:eastAsia="宋体" w:cs="宋体"/>
                <w:sz w:val="24"/>
                <w:szCs w:val="24"/>
              </w:rPr>
              <w:t>8</w:t>
            </w:r>
          </w:p>
        </w:tc>
        <w:tc>
          <w:tcPr>
            <w:tcW w:w="1920"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right="0" w:rightChars="0"/>
              <w:jc w:val="left"/>
              <w:textAlignment w:val="baseline"/>
              <w:rPr>
                <w:rFonts w:hint="eastAsia" w:ascii="仿宋" w:hAnsi="仿宋" w:eastAsia="宋体" w:cs="仿宋"/>
                <w:sz w:val="24"/>
                <w:szCs w:val="24"/>
                <w:vertAlign w:val="baseline"/>
                <w:lang w:val="en-US" w:eastAsia="zh-CN"/>
              </w:rPr>
            </w:pPr>
            <w:r>
              <w:rPr>
                <w:rFonts w:hint="eastAsia" w:ascii="仿宋" w:hAnsi="仿宋" w:eastAsia="仿宋" w:cs="仿宋"/>
                <w:sz w:val="24"/>
                <w:szCs w:val="24"/>
                <w:lang w:val="en-US" w:eastAsia="zh-CN"/>
              </w:rPr>
              <w:t>不按规定收取投标保证金和履约保证金</w:t>
            </w:r>
          </w:p>
        </w:tc>
        <w:tc>
          <w:tcPr>
            <w:tcW w:w="7425"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1.限定投标保证金、履约保证金只能以现金形式提交</w:t>
            </w:r>
            <w:r>
              <w:rPr>
                <w:rFonts w:hint="default" w:ascii="仿宋" w:hAnsi="仿宋" w:eastAsia="仿宋" w:cs="仿宋"/>
                <w:sz w:val="24"/>
                <w:szCs w:val="24"/>
                <w:lang w:val="en-US" w:eastAsia="zh-CN"/>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2.</w:t>
            </w:r>
            <w:r>
              <w:rPr>
                <w:rFonts w:hint="eastAsia" w:ascii="仿宋" w:hAnsi="仿宋" w:eastAsia="仿宋" w:cs="仿宋"/>
                <w:sz w:val="24"/>
                <w:szCs w:val="24"/>
                <w:lang w:val="en-US" w:eastAsia="zh-CN"/>
              </w:rPr>
              <w:t>不按规定或者合同约定返还保证金。</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3.不按规定擅自提高投标保证金和履约保证金额度。</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default" w:ascii="宋体" w:hAnsi="宋体" w:eastAsia="宋体" w:cs="宋体"/>
                <w:spacing w:val="-1"/>
                <w:sz w:val="24"/>
                <w:szCs w:val="24"/>
              </w:rPr>
            </w:pPr>
            <w:r>
              <w:rPr>
                <w:rFonts w:hint="default" w:ascii="仿宋" w:hAnsi="仿宋" w:eastAsia="仿宋" w:cs="仿宋"/>
                <w:sz w:val="24"/>
                <w:szCs w:val="24"/>
                <w:lang w:val="en-US" w:eastAsia="zh-CN"/>
              </w:rPr>
              <w:t>4.政府采购工程招标，收取投标保证金和履约保证金。</w:t>
            </w:r>
          </w:p>
        </w:tc>
        <w:tc>
          <w:tcPr>
            <w:tcW w:w="3749"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rightChars="0" w:hanging="119" w:firstLineChars="0"/>
              <w:jc w:val="both"/>
              <w:textAlignment w:val="baseline"/>
              <w:rPr>
                <w:rFonts w:hint="eastAsia" w:ascii="仿宋" w:hAnsi="仿宋" w:eastAsia="宋体" w:cs="仿宋"/>
                <w:sz w:val="24"/>
                <w:szCs w:val="24"/>
                <w:vertAlign w:val="baseline"/>
                <w:lang w:eastAsia="zh-CN"/>
              </w:rPr>
            </w:pPr>
            <w:r>
              <w:rPr>
                <w:rFonts w:hint="eastAsia" w:ascii="仿宋" w:hAnsi="仿宋" w:eastAsia="仿宋" w:cs="仿宋"/>
                <w:sz w:val="24"/>
                <w:szCs w:val="24"/>
                <w:lang w:val="en-US" w:eastAsia="zh-CN"/>
              </w:rPr>
              <w:t>《招标投标法实施条例》第五十八条</w:t>
            </w:r>
            <w:r>
              <w:rPr>
                <w:rFonts w:hint="default" w:ascii="仿宋" w:hAnsi="仿宋" w:eastAsia="仿宋" w:cs="仿宋"/>
                <w:sz w:val="24"/>
                <w:szCs w:val="24"/>
                <w:lang w:val="en-US" w:eastAsia="zh-CN"/>
              </w:rPr>
              <w:t>、</w:t>
            </w:r>
            <w:r>
              <w:rPr>
                <w:rFonts w:hint="eastAsia" w:ascii="仿宋" w:hAnsi="仿宋" w:eastAsia="仿宋" w:cs="仿宋"/>
                <w:sz w:val="24"/>
                <w:szCs w:val="24"/>
                <w:lang w:val="en-US" w:eastAsia="zh-CN"/>
              </w:rPr>
              <w:t>《</w:t>
            </w:r>
            <w:r>
              <w:rPr>
                <w:rFonts w:hint="default" w:ascii="仿宋" w:hAnsi="仿宋" w:eastAsia="仿宋" w:cs="仿宋"/>
                <w:sz w:val="24"/>
                <w:szCs w:val="24"/>
                <w:lang w:val="en-US" w:eastAsia="zh-CN"/>
              </w:rPr>
              <w:t>省人民政府办公厅关于印发持续深化一流营商环境建设若干措施的通知</w:t>
            </w:r>
            <w:r>
              <w:rPr>
                <w:rFonts w:hint="eastAsia" w:ascii="仿宋" w:hAnsi="仿宋" w:eastAsia="仿宋" w:cs="仿宋"/>
                <w:sz w:val="24"/>
                <w:szCs w:val="24"/>
                <w:lang w:val="en-US" w:eastAsia="zh-CN"/>
              </w:rPr>
              <w:t>》（</w:t>
            </w:r>
            <w:r>
              <w:rPr>
                <w:rFonts w:hint="default" w:ascii="仿宋" w:hAnsi="仿宋" w:eastAsia="仿宋" w:cs="仿宋"/>
                <w:sz w:val="24"/>
                <w:szCs w:val="24"/>
                <w:lang w:val="en-US" w:eastAsia="zh-CN"/>
              </w:rPr>
              <w:t>鄂政办发〔2022〕2号</w:t>
            </w:r>
            <w:r>
              <w:rPr>
                <w:rFonts w:hint="eastAsia" w:ascii="仿宋" w:hAnsi="仿宋" w:eastAsia="仿宋" w:cs="仿宋"/>
                <w:sz w:val="24"/>
                <w:szCs w:val="24"/>
                <w:lang w:val="en-US" w:eastAsia="zh-CN"/>
              </w:rPr>
              <w:t>）、</w:t>
            </w:r>
            <w:r>
              <w:rPr>
                <w:rFonts w:hint="default" w:ascii="仿宋" w:hAnsi="仿宋" w:eastAsia="仿宋" w:cs="仿宋"/>
                <w:sz w:val="24"/>
                <w:szCs w:val="24"/>
                <w:lang w:val="en-US" w:eastAsia="zh-CN"/>
              </w:rPr>
              <w:t>《关于停止收取政府采购工程投标保证金、履约保证金有关事项的通知》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7" w:hRule="atLeast"/>
        </w:trPr>
        <w:tc>
          <w:tcPr>
            <w:tcW w:w="975"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right="0"/>
              <w:jc w:val="center"/>
              <w:textAlignment w:val="baseline"/>
              <w:rPr>
                <w:rFonts w:hint="eastAsia" w:ascii="仿宋" w:hAnsi="仿宋" w:eastAsia="仿宋" w:cs="仿宋"/>
                <w:sz w:val="24"/>
                <w:szCs w:val="24"/>
                <w:vertAlign w:val="baseline"/>
              </w:rPr>
            </w:pPr>
            <w:r>
              <w:rPr>
                <w:rFonts w:ascii="宋体" w:hAnsi="宋体" w:eastAsia="宋体" w:cs="宋体"/>
                <w:sz w:val="24"/>
                <w:szCs w:val="24"/>
              </w:rPr>
              <w:t>9</w:t>
            </w:r>
          </w:p>
        </w:tc>
        <w:tc>
          <w:tcPr>
            <w:tcW w:w="1920"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rightChars="0" w:firstLine="29" w:firstLineChars="0"/>
              <w:jc w:val="left"/>
              <w:textAlignment w:val="baseline"/>
              <w:rPr>
                <w:rFonts w:hint="eastAsia" w:ascii="仿宋" w:hAnsi="仿宋" w:eastAsia="仿宋" w:cs="仿宋"/>
                <w:sz w:val="24"/>
                <w:szCs w:val="24"/>
                <w:vertAlign w:val="baseline"/>
              </w:rPr>
            </w:pPr>
            <w:r>
              <w:rPr>
                <w:rFonts w:hint="eastAsia" w:ascii="仿宋" w:hAnsi="仿宋" w:eastAsia="仿宋" w:cs="仿宋"/>
                <w:sz w:val="24"/>
                <w:szCs w:val="24"/>
                <w:lang w:val="en-US" w:eastAsia="zh-CN"/>
              </w:rPr>
              <w:t>对资格预审文件或招标文件进行澄清或者修改程序不规范</w:t>
            </w:r>
          </w:p>
        </w:tc>
        <w:tc>
          <w:tcPr>
            <w:tcW w:w="7425"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rightChars="0"/>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lang w:val="en-US" w:eastAsia="zh-CN"/>
              </w:rPr>
              <w:t>对已发出的资格预审文件或者招标文件进行必要的澄清或者修改，澄清或者修改的内容可能影响资格预审申请文件或者投标文件编制、距提交资格预审申请文件截止时间不足3日或者距投标截止时间不足15日，不对提交资格预审申请文件或者投标文件的截止时间延期。</w:t>
            </w:r>
          </w:p>
        </w:tc>
        <w:tc>
          <w:tcPr>
            <w:tcW w:w="3749"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《招标投标法》第二十三条</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lang w:val="en-US" w:eastAsia="zh-CN"/>
              </w:rPr>
              <w:t>《招标投标法实施条例》第二十一条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5" w:hRule="atLeast"/>
        </w:trPr>
        <w:tc>
          <w:tcPr>
            <w:tcW w:w="975"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right="0"/>
              <w:jc w:val="center"/>
              <w:textAlignment w:val="baseline"/>
              <w:rPr>
                <w:rFonts w:hint="eastAsia" w:ascii="仿宋" w:hAnsi="仿宋" w:eastAsia="仿宋" w:cs="仿宋"/>
                <w:sz w:val="24"/>
                <w:szCs w:val="24"/>
                <w:vertAlign w:val="baseline"/>
              </w:rPr>
            </w:pPr>
            <w:r>
              <w:rPr>
                <w:rFonts w:ascii="宋体" w:hAnsi="宋体" w:eastAsia="宋体" w:cs="宋体"/>
                <w:spacing w:val="-8"/>
                <w:sz w:val="24"/>
                <w:szCs w:val="24"/>
              </w:rPr>
              <w:t>1</w:t>
            </w:r>
            <w:r>
              <w:rPr>
                <w:rFonts w:ascii="宋体" w:hAnsi="宋体" w:eastAsia="宋体" w:cs="宋体"/>
                <w:spacing w:val="-6"/>
                <w:sz w:val="24"/>
                <w:szCs w:val="24"/>
              </w:rPr>
              <w:t>0</w:t>
            </w:r>
          </w:p>
        </w:tc>
        <w:tc>
          <w:tcPr>
            <w:tcW w:w="1920"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rightChars="0" w:firstLine="20" w:firstLineChars="0"/>
              <w:jc w:val="both"/>
              <w:textAlignment w:val="baseline"/>
              <w:rPr>
                <w:rFonts w:hint="eastAsia" w:ascii="仿宋" w:hAnsi="仿宋" w:eastAsia="仿宋" w:cs="仿宋"/>
                <w:color w:val="FF0000"/>
                <w:sz w:val="24"/>
                <w:szCs w:val="24"/>
                <w:vertAlign w:val="baseline"/>
              </w:rPr>
            </w:pPr>
            <w:r>
              <w:rPr>
                <w:rFonts w:hint="eastAsia" w:ascii="仿宋" w:hAnsi="仿宋" w:eastAsia="仿宋" w:cs="仿宋"/>
                <w:sz w:val="24"/>
                <w:szCs w:val="24"/>
                <w:lang w:val="en-US" w:eastAsia="zh-CN"/>
              </w:rPr>
              <w:t>开标程序不符合规定</w:t>
            </w:r>
          </w:p>
        </w:tc>
        <w:tc>
          <w:tcPr>
            <w:tcW w:w="7425"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1.不按照招标文件规定的时间、地点组织开标。</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2.接受依法应当拒收的资格预审申请文件、投标文件。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3.对已接受的投标文件开标时不宣读(不展示)。</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4.招标项目设有标底的，在开标时不公布。</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5.未完整记录开标情况影响投诉调查处理或者案件查办。</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6.在开标环节要求投标人的法定代表人必须到场，不接受经授权委托的投标人代表到场。</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default" w:ascii="宋体" w:hAnsi="宋体" w:eastAsia="宋体" w:cs="宋体"/>
                <w:color w:val="FF0000"/>
                <w:sz w:val="24"/>
                <w:szCs w:val="24"/>
                <w:lang w:val="en-US" w:eastAsia="zh-CN"/>
              </w:rPr>
            </w:pPr>
            <w:r>
              <w:rPr>
                <w:rFonts w:hint="eastAsia" w:ascii="仿宋" w:hAnsi="仿宋" w:eastAsia="仿宋" w:cs="仿宋"/>
                <w:sz w:val="24"/>
                <w:szCs w:val="24"/>
                <w:lang w:val="en-US" w:eastAsia="zh-CN"/>
              </w:rPr>
              <w:t>7.在投标截止时间后，以投标文件密封不合格为由将投标人投标文件予以退回。</w:t>
            </w:r>
          </w:p>
        </w:tc>
        <w:tc>
          <w:tcPr>
            <w:tcW w:w="3749"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《招标投标法》第二十八条，第三十四条，第三十六条</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《招标投标法实施条例》第三十六条，第四十四条,第五十条</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宋体" w:hAnsi="宋体" w:eastAsia="宋体" w:cs="宋体"/>
                <w:spacing w:val="10"/>
                <w:sz w:val="24"/>
                <w:szCs w:val="24"/>
              </w:rPr>
            </w:pPr>
            <w:r>
              <w:rPr>
                <w:rFonts w:hint="eastAsia" w:ascii="仿宋" w:hAnsi="仿宋" w:eastAsia="仿宋" w:cs="仿宋"/>
                <w:sz w:val="24"/>
                <w:szCs w:val="24"/>
                <w:lang w:val="en-US" w:eastAsia="zh-CN"/>
              </w:rPr>
              <w:t>《工程项目招投标领域营商环境专项整治工作方案》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75" w:type="dxa"/>
            <w:noWrap w:val="0"/>
            <w:vAlign w:val="center"/>
          </w:tcPr>
          <w:p>
            <w:pPr>
              <w:widowControl w:val="0"/>
              <w:spacing w:before="117" w:line="221" w:lineRule="auto"/>
              <w:ind w:left="198" w:leftChars="0"/>
              <w:jc w:val="both"/>
              <w:rPr>
                <w:rFonts w:hint="eastAsia" w:ascii="仿宋" w:hAnsi="仿宋" w:eastAsia="仿宋" w:cs="仿宋"/>
                <w:snapToGrid w:val="0"/>
                <w:color w:val="000000"/>
                <w:kern w:val="0"/>
                <w:sz w:val="24"/>
                <w:szCs w:val="24"/>
                <w:vertAlign w:val="baseline"/>
              </w:rPr>
            </w:pPr>
            <w:r>
              <w:rPr>
                <w:rFonts w:hint="eastAsia" w:ascii="宋体" w:hAnsi="宋体" w:eastAsia="宋体" w:cs="宋体"/>
                <w:b w:val="0"/>
                <w:bCs w:val="0"/>
                <w:spacing w:val="-3"/>
                <w:sz w:val="24"/>
                <w:szCs w:val="24"/>
              </w:rPr>
              <w:t>序</w:t>
            </w:r>
            <w:r>
              <w:rPr>
                <w:rFonts w:hint="eastAsia" w:ascii="宋体" w:hAnsi="宋体" w:eastAsia="宋体" w:cs="宋体"/>
                <w:b w:val="0"/>
                <w:bCs w:val="0"/>
                <w:spacing w:val="-2"/>
                <w:sz w:val="24"/>
                <w:szCs w:val="24"/>
              </w:rPr>
              <w:t>号</w:t>
            </w:r>
          </w:p>
        </w:tc>
        <w:tc>
          <w:tcPr>
            <w:tcW w:w="1920" w:type="dxa"/>
            <w:noWrap w:val="0"/>
            <w:vAlign w:val="center"/>
          </w:tcPr>
          <w:p>
            <w:pPr>
              <w:widowControl w:val="0"/>
              <w:spacing w:before="116" w:line="219" w:lineRule="auto"/>
              <w:ind w:left="324" w:leftChars="0"/>
              <w:jc w:val="both"/>
              <w:rPr>
                <w:rFonts w:hint="eastAsia" w:ascii="仿宋" w:hAnsi="仿宋" w:eastAsia="仿宋" w:cs="仿宋"/>
                <w:snapToGrid w:val="0"/>
                <w:color w:val="000000"/>
                <w:kern w:val="0"/>
                <w:sz w:val="24"/>
                <w:szCs w:val="24"/>
                <w:vertAlign w:val="baseline"/>
                <w:lang w:val="en-US" w:eastAsia="zh-CN"/>
              </w:rPr>
            </w:pPr>
            <w:r>
              <w:rPr>
                <w:rFonts w:hint="eastAsia" w:ascii="宋体" w:hAnsi="宋体" w:eastAsia="宋体" w:cs="宋体"/>
                <w:b w:val="0"/>
                <w:bCs w:val="0"/>
                <w:spacing w:val="-2"/>
                <w:sz w:val="24"/>
                <w:szCs w:val="24"/>
              </w:rPr>
              <w:t>禁止事项</w:t>
            </w:r>
          </w:p>
        </w:tc>
        <w:tc>
          <w:tcPr>
            <w:tcW w:w="7425" w:type="dxa"/>
            <w:noWrap w:val="0"/>
            <w:vAlign w:val="center"/>
          </w:tcPr>
          <w:p>
            <w:pPr>
              <w:widowControl w:val="0"/>
              <w:spacing w:before="116" w:line="219" w:lineRule="auto"/>
              <w:ind w:left="2845" w:leftChars="0"/>
              <w:jc w:val="both"/>
              <w:rPr>
                <w:rFonts w:hint="eastAsia" w:ascii="仿宋" w:hAnsi="仿宋" w:eastAsia="仿宋" w:cs="仿宋"/>
                <w:snapToGrid w:val="0"/>
                <w:color w:val="000000"/>
                <w:kern w:val="0"/>
                <w:sz w:val="24"/>
                <w:szCs w:val="24"/>
                <w:vertAlign w:val="baseline"/>
                <w:lang w:val="en-US" w:eastAsia="zh-CN"/>
              </w:rPr>
            </w:pPr>
            <w:r>
              <w:rPr>
                <w:rFonts w:hint="eastAsia" w:ascii="宋体" w:hAnsi="宋体" w:eastAsia="宋体" w:cs="宋体"/>
                <w:b w:val="0"/>
                <w:bCs w:val="0"/>
                <w:spacing w:val="12"/>
                <w:sz w:val="24"/>
                <w:szCs w:val="24"/>
              </w:rPr>
              <w:t>具</w:t>
            </w:r>
            <w:r>
              <w:rPr>
                <w:rFonts w:hint="eastAsia" w:ascii="宋体" w:hAnsi="宋体" w:eastAsia="宋体" w:cs="宋体"/>
                <w:b w:val="0"/>
                <w:bCs w:val="0"/>
                <w:spacing w:val="11"/>
                <w:sz w:val="24"/>
                <w:szCs w:val="24"/>
              </w:rPr>
              <w:t>体内容</w:t>
            </w:r>
          </w:p>
        </w:tc>
        <w:tc>
          <w:tcPr>
            <w:tcW w:w="3749" w:type="dxa"/>
            <w:noWrap w:val="0"/>
            <w:vAlign w:val="center"/>
          </w:tcPr>
          <w:p>
            <w:pPr>
              <w:widowControl w:val="0"/>
              <w:spacing w:before="114" w:line="219" w:lineRule="auto"/>
              <w:ind w:left="410" w:leftChars="0"/>
              <w:jc w:val="both"/>
              <w:rPr>
                <w:rFonts w:hint="eastAsia" w:ascii="仿宋" w:hAnsi="仿宋" w:eastAsia="仿宋" w:cs="仿宋"/>
                <w:snapToGrid w:val="0"/>
                <w:color w:val="000000"/>
                <w:kern w:val="0"/>
                <w:sz w:val="24"/>
                <w:szCs w:val="24"/>
                <w:vertAlign w:val="baseline"/>
                <w:lang w:val="en-US" w:eastAsia="zh-CN"/>
              </w:rPr>
            </w:pPr>
            <w:r>
              <w:rPr>
                <w:rFonts w:hint="eastAsia" w:ascii="宋体" w:hAnsi="宋体" w:eastAsia="宋体" w:cs="宋体"/>
                <w:b w:val="0"/>
                <w:bCs w:val="0"/>
                <w:spacing w:val="-1"/>
                <w:sz w:val="24"/>
                <w:szCs w:val="24"/>
              </w:rPr>
              <w:t>相关法律、法规和其</w:t>
            </w:r>
            <w:r>
              <w:rPr>
                <w:rFonts w:hint="eastAsia" w:ascii="宋体" w:hAnsi="宋体" w:eastAsia="宋体" w:cs="宋体"/>
                <w:b w:val="0"/>
                <w:bCs w:val="0"/>
                <w:sz w:val="24"/>
                <w:szCs w:val="24"/>
              </w:rPr>
              <w:t>他依据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5" w:hRule="atLeast"/>
        </w:trPr>
        <w:tc>
          <w:tcPr>
            <w:tcW w:w="975"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jc w:val="center"/>
              <w:textAlignment w:val="baseline"/>
              <w:rPr>
                <w:rFonts w:hint="eastAsia" w:ascii="仿宋" w:hAnsi="仿宋" w:eastAsia="仿宋" w:cs="仿宋"/>
                <w:sz w:val="24"/>
                <w:szCs w:val="24"/>
                <w:vertAlign w:val="baseline"/>
              </w:rPr>
            </w:pPr>
            <w:r>
              <w:rPr>
                <w:rFonts w:ascii="宋体" w:hAnsi="宋体" w:eastAsia="宋体" w:cs="宋体"/>
                <w:spacing w:val="-8"/>
                <w:sz w:val="24"/>
                <w:szCs w:val="24"/>
              </w:rPr>
              <w:t>1</w:t>
            </w:r>
            <w:r>
              <w:rPr>
                <w:rFonts w:ascii="宋体" w:hAnsi="宋体" w:eastAsia="宋体" w:cs="宋体"/>
                <w:spacing w:val="-6"/>
                <w:sz w:val="24"/>
                <w:szCs w:val="24"/>
              </w:rPr>
              <w:t>1</w:t>
            </w:r>
          </w:p>
        </w:tc>
        <w:tc>
          <w:tcPr>
            <w:tcW w:w="1920"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rightChars="0"/>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lang w:val="en-US" w:eastAsia="zh-CN"/>
              </w:rPr>
              <w:t>不依法组建评标委员会及资格审查委员会</w:t>
            </w:r>
          </w:p>
        </w:tc>
        <w:tc>
          <w:tcPr>
            <w:tcW w:w="7425"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lang w:val="en-US" w:eastAsia="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lang w:val="en-US" w:eastAsia="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1.招标人评委超过评标委员会(资格审查委员会)成员的三分之一。                                                       2.评标委员会(资格审查委员会)的专家成员不从依法组建的评标专家库内相关专业的专家名单中以随机抽取方式确定。</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3.与投标人有利害关系的人进入相关项目的评标委员会(资格审查委员会)。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4.以明示、暗示等任何方式指定或者变相指定参加评标委员会(资格审查委员会)的专家成员。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5.非因法定的事由，更换依法确定的评标委员会(资格审查委员会)成员。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6.更换评标委员会(资格审查委员会)的专家成员不从评标专家库内相关专业的专家名单中以随机抽取方式确定。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7.行政监督部门的工作人员担任本部门负责监督项目的评标委员会成员。</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8.在评标前二十四小时外，从省综合专家库中随机抽取专家。或按有关规定需要提前抽取专家的，未向评标所在地综合监管机构提出申请并获得批准。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lang w:val="en-US" w:eastAsia="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lang w:val="en-US" w:eastAsia="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default" w:ascii="仿宋" w:hAnsi="仿宋" w:eastAsia="仿宋" w:cs="仿宋"/>
                <w:sz w:val="24"/>
                <w:szCs w:val="24"/>
                <w:lang w:val="en-US" w:eastAsia="zh-CN"/>
              </w:rPr>
            </w:pPr>
          </w:p>
        </w:tc>
        <w:tc>
          <w:tcPr>
            <w:tcW w:w="3749"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《招标投标法》第三十七条</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《招标投标法实施条例》第四十六条,第四十八条</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《评标委员会和评标方法暂行规定》第十条、第十二条</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《湖北省公共资源招标投标监督管理条例》第十四条</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宋体" w:hAnsi="宋体" w:eastAsia="宋体" w:cs="宋体"/>
                <w:sz w:val="24"/>
                <w:szCs w:val="24"/>
                <w:lang w:eastAsia="zh-CN"/>
              </w:rPr>
            </w:pPr>
            <w:r>
              <w:rPr>
                <w:rFonts w:hint="eastAsia" w:ascii="仿宋" w:hAnsi="仿宋" w:eastAsia="仿宋" w:cs="仿宋"/>
                <w:sz w:val="24"/>
                <w:szCs w:val="24"/>
                <w:lang w:val="en-US" w:eastAsia="zh-CN"/>
              </w:rPr>
              <w:t>《湖北省评标（评审）专家及专家库管理办法》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75" w:type="dxa"/>
            <w:noWrap w:val="0"/>
            <w:vAlign w:val="center"/>
          </w:tcPr>
          <w:p>
            <w:pPr>
              <w:widowControl w:val="0"/>
              <w:spacing w:before="127" w:line="221" w:lineRule="auto"/>
              <w:ind w:left="108" w:leftChars="0"/>
              <w:jc w:val="both"/>
              <w:rPr>
                <w:rFonts w:hint="eastAsia" w:ascii="仿宋" w:hAnsi="仿宋" w:eastAsia="仿宋" w:cs="仿宋"/>
                <w:sz w:val="24"/>
                <w:szCs w:val="24"/>
                <w:vertAlign w:val="baseline"/>
              </w:rPr>
            </w:pPr>
            <w:r>
              <w:rPr>
                <w:rFonts w:hint="eastAsia" w:ascii="宋体" w:hAnsi="宋体" w:eastAsia="宋体" w:cs="宋体"/>
                <w:spacing w:val="-3"/>
                <w:sz w:val="23"/>
                <w:szCs w:val="23"/>
              </w:rPr>
              <w:t>序</w:t>
            </w:r>
            <w:r>
              <w:rPr>
                <w:rFonts w:hint="eastAsia" w:ascii="宋体" w:hAnsi="宋体" w:eastAsia="宋体" w:cs="宋体"/>
                <w:spacing w:val="-2"/>
                <w:sz w:val="23"/>
                <w:szCs w:val="23"/>
              </w:rPr>
              <w:t>号</w:t>
            </w:r>
          </w:p>
        </w:tc>
        <w:tc>
          <w:tcPr>
            <w:tcW w:w="1920" w:type="dxa"/>
            <w:noWrap w:val="0"/>
            <w:vAlign w:val="center"/>
          </w:tcPr>
          <w:p>
            <w:pPr>
              <w:widowControl w:val="0"/>
              <w:spacing w:before="126" w:line="219" w:lineRule="auto"/>
              <w:ind w:left="354" w:leftChars="0"/>
              <w:jc w:val="both"/>
              <w:rPr>
                <w:rFonts w:hint="eastAsia" w:ascii="仿宋" w:hAnsi="仿宋" w:eastAsia="仿宋" w:cs="仿宋"/>
                <w:sz w:val="24"/>
                <w:szCs w:val="24"/>
                <w:vertAlign w:val="baseline"/>
              </w:rPr>
            </w:pPr>
            <w:r>
              <w:rPr>
                <w:rFonts w:hint="eastAsia" w:ascii="宋体" w:hAnsi="宋体" w:eastAsia="宋体" w:cs="宋体"/>
                <w:spacing w:val="-2"/>
                <w:sz w:val="23"/>
                <w:szCs w:val="23"/>
              </w:rPr>
              <w:t>禁止事项</w:t>
            </w:r>
          </w:p>
        </w:tc>
        <w:tc>
          <w:tcPr>
            <w:tcW w:w="7425" w:type="dxa"/>
            <w:noWrap w:val="0"/>
            <w:vAlign w:val="center"/>
          </w:tcPr>
          <w:p>
            <w:pPr>
              <w:widowControl w:val="0"/>
              <w:spacing w:before="126" w:line="219" w:lineRule="auto"/>
              <w:ind w:left="2845" w:leftChars="0"/>
              <w:jc w:val="both"/>
              <w:rPr>
                <w:rFonts w:hint="eastAsia" w:ascii="仿宋" w:hAnsi="仿宋" w:eastAsia="仿宋" w:cs="仿宋"/>
                <w:sz w:val="24"/>
                <w:szCs w:val="24"/>
                <w:vertAlign w:val="baseline"/>
              </w:rPr>
            </w:pPr>
            <w:r>
              <w:rPr>
                <w:rFonts w:hint="eastAsia" w:ascii="宋体" w:hAnsi="宋体" w:eastAsia="宋体" w:cs="宋体"/>
                <w:spacing w:val="12"/>
                <w:sz w:val="23"/>
                <w:szCs w:val="23"/>
              </w:rPr>
              <w:t>具</w:t>
            </w:r>
            <w:r>
              <w:rPr>
                <w:rFonts w:hint="eastAsia" w:ascii="宋体" w:hAnsi="宋体" w:eastAsia="宋体" w:cs="宋体"/>
                <w:spacing w:val="11"/>
                <w:sz w:val="23"/>
                <w:szCs w:val="23"/>
              </w:rPr>
              <w:t>体内容</w:t>
            </w:r>
          </w:p>
        </w:tc>
        <w:tc>
          <w:tcPr>
            <w:tcW w:w="3749" w:type="dxa"/>
            <w:noWrap w:val="0"/>
            <w:vAlign w:val="center"/>
          </w:tcPr>
          <w:p>
            <w:pPr>
              <w:widowControl w:val="0"/>
              <w:spacing w:before="124" w:line="219" w:lineRule="auto"/>
              <w:ind w:left="410" w:leftChars="0"/>
              <w:jc w:val="both"/>
              <w:rPr>
                <w:rFonts w:hint="eastAsia" w:ascii="仿宋" w:hAnsi="仿宋" w:eastAsia="仿宋" w:cs="仿宋"/>
                <w:sz w:val="24"/>
                <w:szCs w:val="24"/>
                <w:vertAlign w:val="baseline"/>
              </w:rPr>
            </w:pPr>
            <w:r>
              <w:rPr>
                <w:rFonts w:hint="eastAsia" w:ascii="宋体" w:hAnsi="宋体" w:eastAsia="宋体" w:cs="宋体"/>
                <w:spacing w:val="-1"/>
                <w:sz w:val="23"/>
                <w:szCs w:val="23"/>
              </w:rPr>
              <w:t>相关法律、法规和其</w:t>
            </w:r>
            <w:r>
              <w:rPr>
                <w:rFonts w:hint="eastAsia" w:ascii="宋体" w:hAnsi="宋体" w:eastAsia="宋体" w:cs="宋体"/>
                <w:sz w:val="23"/>
                <w:szCs w:val="23"/>
              </w:rPr>
              <w:t>他依据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7" w:hRule="atLeast"/>
        </w:trPr>
        <w:tc>
          <w:tcPr>
            <w:tcW w:w="975"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jc w:val="center"/>
              <w:textAlignment w:val="baseline"/>
              <w:rPr>
                <w:rFonts w:hint="eastAsia" w:ascii="仿宋" w:hAnsi="仿宋" w:eastAsia="仿宋" w:cs="仿宋"/>
                <w:sz w:val="21"/>
                <w:szCs w:val="21"/>
                <w:vertAlign w:val="baseline"/>
              </w:rPr>
            </w:pPr>
            <w:r>
              <w:rPr>
                <w:rFonts w:ascii="宋体" w:hAnsi="宋体" w:eastAsia="宋体" w:cs="宋体"/>
                <w:spacing w:val="-8"/>
                <w:sz w:val="21"/>
                <w:szCs w:val="21"/>
              </w:rPr>
              <w:t>1</w:t>
            </w:r>
            <w:r>
              <w:rPr>
                <w:rFonts w:ascii="宋体" w:hAnsi="宋体" w:eastAsia="宋体" w:cs="宋体"/>
                <w:spacing w:val="-6"/>
                <w:sz w:val="21"/>
                <w:szCs w:val="21"/>
              </w:rPr>
              <w:t>2</w:t>
            </w:r>
          </w:p>
        </w:tc>
        <w:tc>
          <w:tcPr>
            <w:tcW w:w="1920"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rightChars="0" w:firstLine="20" w:firstLineChars="0"/>
              <w:jc w:val="left"/>
              <w:textAlignment w:val="baseline"/>
              <w:rPr>
                <w:rFonts w:hint="eastAsia" w:ascii="仿宋" w:hAnsi="仿宋" w:eastAsia="仿宋" w:cs="仿宋"/>
                <w:sz w:val="21"/>
                <w:szCs w:val="21"/>
                <w:vertAlign w:val="baseline"/>
              </w:rPr>
            </w:pPr>
            <w:r>
              <w:rPr>
                <w:rFonts w:hint="eastAsia" w:ascii="仿宋" w:hAnsi="仿宋" w:eastAsia="仿宋" w:cs="仿宋"/>
                <w:sz w:val="24"/>
                <w:szCs w:val="24"/>
                <w:lang w:val="en-US" w:eastAsia="zh-CN"/>
              </w:rPr>
              <w:t>非法干预或者影响评标过程和结果</w:t>
            </w:r>
          </w:p>
        </w:tc>
        <w:tc>
          <w:tcPr>
            <w:tcW w:w="7425"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1.不按规定提前抽取评标专家，或将投标人名单及评标项目提前告知评标委员会成员的。</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2.未向评标委员会提供评标所必需的信息。</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3.招标人(代理机构)向评标委员会明示或暗示其倾向或排斥特定投标人。</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4.在中标结果确定前泄露评标委员会(资格审查委员会)成员名单。</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default" w:ascii="宋体" w:hAnsi="宋体" w:eastAsia="宋体" w:cs="宋体"/>
                <w:spacing w:val="-17"/>
                <w:sz w:val="21"/>
                <w:szCs w:val="21"/>
                <w:lang w:val="en-US" w:eastAsia="zh-CN"/>
              </w:rPr>
            </w:pPr>
            <w:r>
              <w:rPr>
                <w:rFonts w:hint="eastAsia" w:ascii="仿宋" w:hAnsi="仿宋" w:eastAsia="仿宋" w:cs="仿宋"/>
                <w:sz w:val="24"/>
                <w:szCs w:val="24"/>
                <w:lang w:val="en-US" w:eastAsia="zh-CN"/>
              </w:rPr>
              <w:t>5.不根据项目规模和技术复杂程度等因素合理确定评标时间。</w:t>
            </w:r>
          </w:p>
        </w:tc>
        <w:tc>
          <w:tcPr>
            <w:tcW w:w="3749"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《招标投标法》第三十七条，第三十八条</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《招标投标法实施条例》第四十八条</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《评标委员会和评标方法暂行规定》第八条</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1"/>
                <w:szCs w:val="21"/>
                <w:vertAlign w:val="baseline"/>
              </w:rPr>
            </w:pPr>
            <w:r>
              <w:rPr>
                <w:rFonts w:hint="eastAsia" w:ascii="仿宋" w:hAnsi="仿宋" w:eastAsia="仿宋" w:cs="仿宋"/>
                <w:sz w:val="24"/>
                <w:szCs w:val="24"/>
                <w:lang w:val="en-US" w:eastAsia="zh-CN"/>
              </w:rPr>
              <w:t>《湖北省公共资源招标投标监督管理条例》第十四条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0" w:hRule="atLeast"/>
        </w:trPr>
        <w:tc>
          <w:tcPr>
            <w:tcW w:w="975"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rightChars="0"/>
              <w:jc w:val="center"/>
              <w:textAlignment w:val="baseline"/>
              <w:rPr>
                <w:rFonts w:hint="eastAsia" w:ascii="仿宋" w:hAnsi="仿宋" w:eastAsia="宋体" w:cs="仿宋"/>
                <w:snapToGrid w:val="0"/>
                <w:color w:val="000000"/>
                <w:kern w:val="0"/>
                <w:sz w:val="21"/>
                <w:szCs w:val="21"/>
                <w:vertAlign w:val="baseline"/>
                <w:lang w:val="en-US" w:eastAsia="zh-CN"/>
              </w:rPr>
            </w:pPr>
            <w:r>
              <w:rPr>
                <w:rFonts w:hint="eastAsia" w:ascii="宋体" w:hAnsi="宋体" w:eastAsia="宋体" w:cs="宋体"/>
                <w:spacing w:val="-8"/>
                <w:sz w:val="21"/>
                <w:szCs w:val="21"/>
              </w:rPr>
              <w:t>1</w:t>
            </w:r>
            <w:r>
              <w:rPr>
                <w:rFonts w:hint="eastAsia" w:ascii="宋体" w:hAnsi="宋体" w:eastAsia="宋体" w:cs="宋体"/>
                <w:spacing w:val="-8"/>
                <w:sz w:val="21"/>
                <w:szCs w:val="21"/>
                <w:lang w:val="en-US" w:eastAsia="zh-CN"/>
              </w:rPr>
              <w:t>3</w:t>
            </w:r>
          </w:p>
        </w:tc>
        <w:tc>
          <w:tcPr>
            <w:tcW w:w="1920"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rightChars="0" w:firstLine="20" w:firstLineChars="0"/>
              <w:jc w:val="left"/>
              <w:textAlignment w:val="baseline"/>
              <w:rPr>
                <w:rFonts w:hint="eastAsia" w:ascii="仿宋" w:hAnsi="仿宋" w:eastAsia="仿宋" w:cs="仿宋"/>
                <w:snapToGrid w:val="0"/>
                <w:color w:val="000000"/>
                <w:kern w:val="0"/>
                <w:sz w:val="21"/>
                <w:szCs w:val="21"/>
                <w:vertAlign w:val="baseline"/>
                <w:lang w:val="en-US" w:eastAsia="zh-CN"/>
              </w:rPr>
            </w:pPr>
            <w:r>
              <w:rPr>
                <w:rFonts w:hint="eastAsia" w:ascii="仿宋" w:hAnsi="仿宋" w:eastAsia="仿宋" w:cs="仿宋"/>
                <w:sz w:val="24"/>
                <w:szCs w:val="24"/>
                <w:lang w:val="en-US" w:eastAsia="zh-CN"/>
              </w:rPr>
              <w:t>不依法公示评标结果并确定中标人</w:t>
            </w:r>
          </w:p>
        </w:tc>
        <w:tc>
          <w:tcPr>
            <w:tcW w:w="7425"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1.无正当理由不发出中标通知书。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2.在评标委员会依法推荐的中标候选人以外确定中标人，或在所有投标被评标委员会否决后自行确定中标人。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3.中标通知书发出后无正当理由改变中标结果。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4.拒绝签订合同。</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5.在签订合同时提出额外附加条件。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6.收到评标报告后未在法律法规规定的时限内公示评标结果。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7.评标结果公示期少于规定的时限。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8.自中标通知书发出之日起三十日内未订立合同。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9.不按照招标文件和中标人的投标文件订立合同，或订立背离合同实质性内容的协议。</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left="0" w:leftChars="0" w:right="0" w:rightChars="0" w:firstLine="0" w:firstLineChars="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10.采用抽签、摇号等方式直接确定中标候选人。</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left="0" w:leftChars="0" w:right="0" w:rightChars="0" w:firstLine="0" w:firstLineChars="0"/>
              <w:jc w:val="both"/>
              <w:textAlignment w:val="baseline"/>
              <w:rPr>
                <w:rFonts w:hint="eastAsia" w:ascii="仿宋" w:hAnsi="仿宋" w:eastAsia="仿宋" w:cs="仿宋"/>
                <w:sz w:val="24"/>
                <w:szCs w:val="24"/>
                <w:lang w:val="en-US" w:eastAsia="zh-CN"/>
              </w:rPr>
            </w:pPr>
          </w:p>
        </w:tc>
        <w:tc>
          <w:tcPr>
            <w:tcW w:w="3749"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《招标投标法》第四十条，第四十二条，第四十五条，第四十六条</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《招标投标法实施条例》第五十四条，第五十五条，第五十七条</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《湖北省公共资源招标投标监督管理条例》第十六条，第十七条,第十八条，第十九条</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《工程项目招投标领域营商环境专项整治工作方案》</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left="0" w:leftChars="0" w:right="0" w:rightChars="0" w:firstLine="0" w:firstLineChars="0"/>
              <w:jc w:val="both"/>
              <w:textAlignment w:val="baseline"/>
              <w:rPr>
                <w:rFonts w:hint="eastAsia" w:ascii="宋体" w:hAnsi="宋体" w:eastAsia="宋体" w:cs="宋体"/>
                <w:snapToGrid w:val="0"/>
                <w:color w:val="000000"/>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975" w:type="dxa"/>
            <w:noWrap w:val="0"/>
            <w:vAlign w:val="center"/>
          </w:tcPr>
          <w:p>
            <w:pPr>
              <w:widowControl w:val="0"/>
              <w:spacing w:before="127" w:line="221" w:lineRule="auto"/>
              <w:ind w:left="108" w:leftChars="0"/>
              <w:jc w:val="both"/>
              <w:rPr>
                <w:rFonts w:hint="eastAsia" w:ascii="仿宋" w:hAnsi="仿宋" w:eastAsia="仿宋" w:cs="仿宋"/>
                <w:snapToGrid w:val="0"/>
                <w:color w:val="000000"/>
                <w:kern w:val="0"/>
                <w:sz w:val="32"/>
                <w:szCs w:val="32"/>
                <w:vertAlign w:val="baseline"/>
                <w:lang w:val="en-US" w:eastAsia="zh-CN"/>
              </w:rPr>
            </w:pPr>
            <w:r>
              <w:rPr>
                <w:rFonts w:hint="eastAsia" w:ascii="宋体" w:hAnsi="宋体" w:eastAsia="宋体" w:cs="宋体"/>
                <w:spacing w:val="-3"/>
                <w:sz w:val="23"/>
                <w:szCs w:val="23"/>
              </w:rPr>
              <w:t>序</w:t>
            </w:r>
            <w:r>
              <w:rPr>
                <w:rFonts w:hint="eastAsia" w:ascii="宋体" w:hAnsi="宋体" w:eastAsia="宋体" w:cs="宋体"/>
                <w:spacing w:val="-2"/>
                <w:sz w:val="23"/>
                <w:szCs w:val="23"/>
              </w:rPr>
              <w:t>号</w:t>
            </w:r>
          </w:p>
        </w:tc>
        <w:tc>
          <w:tcPr>
            <w:tcW w:w="1920" w:type="dxa"/>
            <w:noWrap w:val="0"/>
            <w:vAlign w:val="center"/>
          </w:tcPr>
          <w:p>
            <w:pPr>
              <w:widowControl w:val="0"/>
              <w:spacing w:before="126" w:line="219" w:lineRule="auto"/>
              <w:ind w:left="354" w:leftChars="0"/>
              <w:jc w:val="both"/>
              <w:rPr>
                <w:rFonts w:hint="eastAsia" w:ascii="仿宋" w:hAnsi="仿宋" w:eastAsia="仿宋" w:cs="仿宋"/>
                <w:snapToGrid w:val="0"/>
                <w:color w:val="000000"/>
                <w:kern w:val="0"/>
                <w:sz w:val="32"/>
                <w:szCs w:val="32"/>
                <w:vertAlign w:val="baseline"/>
                <w:lang w:val="en-US" w:eastAsia="zh-CN"/>
              </w:rPr>
            </w:pPr>
            <w:r>
              <w:rPr>
                <w:rFonts w:hint="eastAsia" w:ascii="宋体" w:hAnsi="宋体" w:eastAsia="宋体" w:cs="宋体"/>
                <w:spacing w:val="-2"/>
                <w:sz w:val="23"/>
                <w:szCs w:val="23"/>
              </w:rPr>
              <w:t>禁止事项</w:t>
            </w:r>
          </w:p>
        </w:tc>
        <w:tc>
          <w:tcPr>
            <w:tcW w:w="7425" w:type="dxa"/>
            <w:noWrap w:val="0"/>
            <w:vAlign w:val="center"/>
          </w:tcPr>
          <w:p>
            <w:pPr>
              <w:widowControl w:val="0"/>
              <w:spacing w:before="126" w:line="219" w:lineRule="auto"/>
              <w:ind w:left="2845" w:leftChars="0"/>
              <w:jc w:val="both"/>
              <w:rPr>
                <w:rFonts w:hint="eastAsia" w:ascii="仿宋" w:hAnsi="仿宋" w:eastAsia="仿宋" w:cs="仿宋"/>
                <w:snapToGrid w:val="0"/>
                <w:color w:val="000000"/>
                <w:kern w:val="0"/>
                <w:sz w:val="32"/>
                <w:szCs w:val="32"/>
                <w:vertAlign w:val="baseline"/>
                <w:lang w:val="en-US" w:eastAsia="zh-CN"/>
              </w:rPr>
            </w:pPr>
            <w:r>
              <w:rPr>
                <w:rFonts w:hint="eastAsia" w:ascii="宋体" w:hAnsi="宋体" w:eastAsia="宋体" w:cs="宋体"/>
                <w:spacing w:val="12"/>
                <w:sz w:val="23"/>
                <w:szCs w:val="23"/>
              </w:rPr>
              <w:t>具</w:t>
            </w:r>
            <w:r>
              <w:rPr>
                <w:rFonts w:hint="eastAsia" w:ascii="宋体" w:hAnsi="宋体" w:eastAsia="宋体" w:cs="宋体"/>
                <w:spacing w:val="11"/>
                <w:sz w:val="23"/>
                <w:szCs w:val="23"/>
              </w:rPr>
              <w:t>体内容</w:t>
            </w:r>
          </w:p>
        </w:tc>
        <w:tc>
          <w:tcPr>
            <w:tcW w:w="3749" w:type="dxa"/>
            <w:noWrap w:val="0"/>
            <w:vAlign w:val="center"/>
          </w:tcPr>
          <w:p>
            <w:pPr>
              <w:widowControl w:val="0"/>
              <w:spacing w:before="124" w:line="219" w:lineRule="auto"/>
              <w:ind w:left="410" w:leftChars="0"/>
              <w:jc w:val="both"/>
              <w:rPr>
                <w:rFonts w:hint="eastAsia" w:ascii="仿宋" w:hAnsi="仿宋" w:eastAsia="仿宋" w:cs="仿宋"/>
                <w:snapToGrid w:val="0"/>
                <w:color w:val="000000"/>
                <w:kern w:val="0"/>
                <w:sz w:val="32"/>
                <w:szCs w:val="32"/>
                <w:vertAlign w:val="baseline"/>
                <w:lang w:eastAsia="zh-CN"/>
              </w:rPr>
            </w:pPr>
            <w:r>
              <w:rPr>
                <w:rFonts w:hint="eastAsia" w:ascii="宋体" w:hAnsi="宋体" w:eastAsia="宋体" w:cs="宋体"/>
                <w:spacing w:val="-1"/>
                <w:sz w:val="23"/>
                <w:szCs w:val="23"/>
              </w:rPr>
              <w:t>相关法律、法规和其</w:t>
            </w:r>
            <w:r>
              <w:rPr>
                <w:rFonts w:hint="eastAsia" w:ascii="宋体" w:hAnsi="宋体" w:eastAsia="宋体" w:cs="宋体"/>
                <w:sz w:val="23"/>
                <w:szCs w:val="23"/>
              </w:rPr>
              <w:t>他依据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975"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rightChars="0"/>
              <w:jc w:val="center"/>
              <w:textAlignment w:val="baseline"/>
              <w:rPr>
                <w:rFonts w:hint="eastAsia" w:ascii="仿宋" w:hAnsi="仿宋" w:eastAsia="宋体" w:cs="仿宋"/>
                <w:snapToGrid w:val="0"/>
                <w:color w:val="000000"/>
                <w:kern w:val="0"/>
                <w:sz w:val="21"/>
                <w:szCs w:val="21"/>
                <w:vertAlign w:val="baseline"/>
                <w:lang w:val="en-US" w:eastAsia="zh-CN"/>
              </w:rPr>
            </w:pPr>
            <w:r>
              <w:rPr>
                <w:rFonts w:ascii="宋体" w:hAnsi="宋体" w:eastAsia="宋体" w:cs="宋体"/>
                <w:spacing w:val="-8"/>
                <w:sz w:val="21"/>
                <w:szCs w:val="21"/>
              </w:rPr>
              <w:t>1</w:t>
            </w:r>
            <w:r>
              <w:rPr>
                <w:rFonts w:hint="eastAsia" w:ascii="宋体" w:hAnsi="宋体" w:eastAsia="宋体" w:cs="宋体"/>
                <w:spacing w:val="-8"/>
                <w:sz w:val="21"/>
                <w:szCs w:val="21"/>
                <w:lang w:val="en-US" w:eastAsia="zh-CN"/>
              </w:rPr>
              <w:t>4</w:t>
            </w:r>
          </w:p>
        </w:tc>
        <w:tc>
          <w:tcPr>
            <w:tcW w:w="1920"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left="0" w:leftChars="0" w:right="0" w:rightChars="0" w:firstLine="0" w:firstLineChars="0"/>
              <w:jc w:val="both"/>
              <w:textAlignment w:val="baseline"/>
              <w:rPr>
                <w:rFonts w:hint="eastAsia" w:ascii="仿宋" w:hAnsi="仿宋" w:eastAsia="仿宋" w:cs="仿宋"/>
                <w:snapToGrid w:val="0"/>
                <w:color w:val="000000"/>
                <w:kern w:val="0"/>
                <w:sz w:val="24"/>
                <w:szCs w:val="24"/>
                <w:lang w:val="en-US" w:eastAsia="zh-CN"/>
              </w:rPr>
            </w:pPr>
            <w:r>
              <w:rPr>
                <w:rFonts w:hint="eastAsia" w:ascii="仿宋" w:hAnsi="仿宋" w:eastAsia="仿宋" w:cs="仿宋"/>
                <w:sz w:val="24"/>
                <w:szCs w:val="24"/>
                <w:lang w:val="en-US" w:eastAsia="zh-CN"/>
              </w:rPr>
              <w:t>不依法发布资格预审结果</w:t>
            </w:r>
          </w:p>
        </w:tc>
        <w:tc>
          <w:tcPr>
            <w:tcW w:w="7425"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left="0" w:leftChars="0" w:right="0" w:rightChars="0" w:firstLine="0" w:firstLineChars="0"/>
              <w:jc w:val="both"/>
              <w:textAlignment w:val="baseline"/>
              <w:rPr>
                <w:rFonts w:hint="eastAsia" w:ascii="仿宋" w:hAnsi="仿宋" w:eastAsia="仿宋" w:cs="仿宋"/>
                <w:snapToGrid w:val="0"/>
                <w:color w:val="000000"/>
                <w:kern w:val="0"/>
                <w:sz w:val="24"/>
                <w:szCs w:val="24"/>
                <w:lang w:val="en-US" w:eastAsia="zh-CN"/>
              </w:rPr>
            </w:pPr>
            <w:r>
              <w:rPr>
                <w:rFonts w:hint="eastAsia" w:ascii="仿宋" w:hAnsi="仿宋" w:eastAsia="仿宋" w:cs="仿宋"/>
                <w:sz w:val="24"/>
                <w:szCs w:val="24"/>
                <w:lang w:val="en-US" w:eastAsia="zh-CN"/>
              </w:rPr>
              <w:t>资格预审结束后，不按法律法规的规定及时向资格预审申请人发出资格预审结果通知书，或以资格预审结果予以公示等形式泄露资格预审申请人名单。</w:t>
            </w:r>
          </w:p>
        </w:tc>
        <w:tc>
          <w:tcPr>
            <w:tcW w:w="3749"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left="0" w:leftChars="0" w:right="0" w:rightChars="0" w:firstLine="0" w:firstLineChars="0"/>
              <w:jc w:val="both"/>
              <w:textAlignment w:val="baseline"/>
              <w:rPr>
                <w:rFonts w:hint="eastAsia" w:ascii="仿宋" w:hAnsi="仿宋" w:eastAsia="宋体" w:cs="仿宋"/>
                <w:snapToGrid w:val="0"/>
                <w:color w:val="000000"/>
                <w:kern w:val="0"/>
                <w:sz w:val="21"/>
                <w:szCs w:val="21"/>
                <w:vertAlign w:val="baseline"/>
                <w:lang w:eastAsia="zh-CN"/>
              </w:rPr>
            </w:pPr>
            <w:r>
              <w:rPr>
                <w:rFonts w:hint="eastAsia" w:ascii="仿宋" w:hAnsi="仿宋" w:eastAsia="仿宋" w:cs="仿宋"/>
                <w:sz w:val="24"/>
                <w:szCs w:val="24"/>
                <w:lang w:val="en-US" w:eastAsia="zh-CN"/>
              </w:rPr>
              <w:t>《招标投标法实施条例》第十九条、第四十一条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jc w:val="center"/>
              <w:textAlignment w:val="baseline"/>
              <w:rPr>
                <w:rFonts w:hint="eastAsia" w:ascii="仿宋" w:hAnsi="仿宋" w:eastAsia="仿宋" w:cs="仿宋"/>
                <w:sz w:val="24"/>
                <w:szCs w:val="24"/>
                <w:vertAlign w:val="baseline"/>
              </w:rPr>
            </w:pPr>
            <w:r>
              <w:rPr>
                <w:rFonts w:hint="eastAsia" w:ascii="宋体" w:hAnsi="宋体" w:eastAsia="宋体" w:cs="宋体"/>
                <w:spacing w:val="-8"/>
                <w:sz w:val="24"/>
                <w:szCs w:val="24"/>
              </w:rPr>
              <w:t>1</w:t>
            </w:r>
            <w:r>
              <w:rPr>
                <w:rFonts w:hint="eastAsia" w:ascii="宋体" w:hAnsi="宋体" w:eastAsia="宋体" w:cs="宋体"/>
                <w:spacing w:val="-6"/>
                <w:sz w:val="24"/>
                <w:szCs w:val="24"/>
              </w:rPr>
              <w:t>5</w:t>
            </w:r>
          </w:p>
        </w:tc>
        <w:tc>
          <w:tcPr>
            <w:tcW w:w="1920"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rightChars="0" w:firstLine="20" w:firstLineChars="0"/>
              <w:jc w:val="left"/>
              <w:textAlignment w:val="baseline"/>
              <w:rPr>
                <w:rFonts w:hint="eastAsia" w:ascii="仿宋" w:hAnsi="仿宋" w:eastAsia="仿宋" w:cs="仿宋"/>
                <w:sz w:val="24"/>
                <w:szCs w:val="24"/>
                <w:vertAlign w:val="baseline"/>
              </w:rPr>
            </w:pPr>
            <w:r>
              <w:rPr>
                <w:rFonts w:hint="eastAsia" w:ascii="仿宋" w:hAnsi="仿宋" w:eastAsia="仿宋" w:cs="仿宋"/>
                <w:sz w:val="24"/>
                <w:szCs w:val="24"/>
                <w:lang w:val="en-US" w:eastAsia="zh-CN"/>
              </w:rPr>
              <w:t>规避招标或与投标人串通</w:t>
            </w:r>
          </w:p>
        </w:tc>
        <w:tc>
          <w:tcPr>
            <w:tcW w:w="7425"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1.在开标前开启投标文件并将有关信息泄露给其他投标人。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2.直接或者间接向投标人泄露标底、评标委员会成员等信息。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3.明示或者暗示投标人压低或者抬高投标报价。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4.授意投标人撤换、修改投标文件。</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5.明示或者暗示投标人为特定投标人中标提供方便。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6.与投标人为谋求特定投标人中标而采取的其他串通行为。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7.在确定中标人前，与投标人就投标价格、投标方案等实质性内容进行谈判。</w:t>
            </w:r>
          </w:p>
        </w:tc>
        <w:tc>
          <w:tcPr>
            <w:tcW w:w="3749"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《招标投标法》第二十二条，第三十二条，第四十三条</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《招标投标法实施条例》第四十一条</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《湖北省公共资源招标投标监督管理条例》第十九条</w:t>
            </w:r>
          </w:p>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rightChars="0" w:hanging="119" w:firstLineChars="0"/>
              <w:jc w:val="both"/>
              <w:textAlignment w:val="baseline"/>
              <w:rPr>
                <w:rFonts w:hint="eastAsia" w:ascii="仿宋" w:hAnsi="仿宋" w:eastAsia="仿宋" w:cs="仿宋"/>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jc w:val="center"/>
              <w:textAlignment w:val="baseline"/>
              <w:rPr>
                <w:rFonts w:hint="eastAsia" w:ascii="仿宋" w:hAnsi="仿宋" w:eastAsia="仿宋" w:cs="仿宋"/>
                <w:sz w:val="24"/>
                <w:szCs w:val="24"/>
                <w:vertAlign w:val="baseline"/>
              </w:rPr>
            </w:pPr>
            <w:r>
              <w:rPr>
                <w:rFonts w:hint="eastAsia" w:ascii="宋体" w:hAnsi="宋体" w:eastAsia="宋体" w:cs="宋体"/>
                <w:spacing w:val="-8"/>
                <w:sz w:val="24"/>
                <w:szCs w:val="24"/>
              </w:rPr>
              <w:t>1</w:t>
            </w:r>
            <w:r>
              <w:rPr>
                <w:rFonts w:hint="eastAsia" w:ascii="宋体" w:hAnsi="宋体" w:eastAsia="宋体" w:cs="宋体"/>
                <w:spacing w:val="-6"/>
                <w:sz w:val="24"/>
                <w:szCs w:val="24"/>
              </w:rPr>
              <w:t>6</w:t>
            </w:r>
          </w:p>
        </w:tc>
        <w:tc>
          <w:tcPr>
            <w:tcW w:w="1920"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rightChars="0" w:firstLine="20" w:firstLineChars="0"/>
              <w:jc w:val="left"/>
              <w:textAlignment w:val="baseline"/>
              <w:rPr>
                <w:rFonts w:hint="eastAsia" w:ascii="仿宋" w:hAnsi="仿宋" w:eastAsia="仿宋" w:cs="仿宋"/>
                <w:sz w:val="24"/>
                <w:szCs w:val="24"/>
                <w:vertAlign w:val="baseline"/>
              </w:rPr>
            </w:pPr>
            <w:r>
              <w:rPr>
                <w:rFonts w:hint="eastAsia" w:ascii="仿宋" w:hAnsi="仿宋" w:eastAsia="仿宋" w:cs="仿宋"/>
                <w:sz w:val="24"/>
                <w:szCs w:val="24"/>
                <w:lang w:val="en-US" w:eastAsia="zh-CN"/>
              </w:rPr>
              <w:t>未按规定处理招标文件、开标、评标结果异议</w:t>
            </w:r>
          </w:p>
        </w:tc>
        <w:tc>
          <w:tcPr>
            <w:tcW w:w="7425"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1.不在法定时限内对投标人(潜在投标人)或其他利害关系人提出的"异议"作出答复。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宋体" w:hAnsi="宋体" w:eastAsia="宋体" w:cs="宋体"/>
                <w:sz w:val="24"/>
                <w:szCs w:val="24"/>
              </w:rPr>
            </w:pPr>
            <w:r>
              <w:rPr>
                <w:rFonts w:hint="eastAsia" w:ascii="仿宋" w:hAnsi="仿宋" w:eastAsia="仿宋" w:cs="仿宋"/>
                <w:sz w:val="24"/>
                <w:szCs w:val="24"/>
                <w:lang w:val="en-US" w:eastAsia="zh-CN"/>
              </w:rPr>
              <w:t>2.对投标人(潜在投标人)或其他利害关系人提出的"异议"作出答复前，未暂停招标投标活动。</w:t>
            </w:r>
          </w:p>
        </w:tc>
        <w:tc>
          <w:tcPr>
            <w:tcW w:w="3749"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《招标投标法实施条例》第二十二条，第四十四条，第五十四条</w:t>
            </w:r>
          </w:p>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rightChars="0" w:hanging="119" w:firstLineChars="0"/>
              <w:jc w:val="both"/>
              <w:textAlignment w:val="baseline"/>
              <w:rPr>
                <w:rFonts w:hint="eastAsia" w:ascii="仿宋" w:hAnsi="仿宋" w:eastAsia="仿宋" w:cs="仿宋"/>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0" w:hRule="atLeast"/>
        </w:trPr>
        <w:tc>
          <w:tcPr>
            <w:tcW w:w="975"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jc w:val="center"/>
              <w:textAlignment w:val="baseline"/>
              <w:rPr>
                <w:rFonts w:hint="eastAsia" w:ascii="仿宋" w:hAnsi="仿宋" w:eastAsia="仿宋" w:cs="仿宋"/>
                <w:sz w:val="24"/>
                <w:szCs w:val="24"/>
                <w:vertAlign w:val="baseline"/>
              </w:rPr>
            </w:pPr>
            <w:r>
              <w:rPr>
                <w:rFonts w:ascii="宋体" w:hAnsi="宋体" w:eastAsia="宋体" w:cs="宋体"/>
                <w:spacing w:val="-8"/>
                <w:sz w:val="24"/>
                <w:szCs w:val="24"/>
              </w:rPr>
              <w:t>1</w:t>
            </w:r>
            <w:r>
              <w:rPr>
                <w:rFonts w:ascii="宋体" w:hAnsi="宋体" w:eastAsia="宋体" w:cs="宋体"/>
                <w:spacing w:val="-6"/>
                <w:sz w:val="24"/>
                <w:szCs w:val="24"/>
              </w:rPr>
              <w:t>7</w:t>
            </w:r>
          </w:p>
        </w:tc>
        <w:tc>
          <w:tcPr>
            <w:tcW w:w="1920"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lang w:val="en-US" w:eastAsia="zh-CN"/>
              </w:rPr>
              <w:t>投诉不规范</w:t>
            </w:r>
          </w:p>
        </w:tc>
        <w:tc>
          <w:tcPr>
            <w:tcW w:w="7425"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1.已查明的事实不接受，反复投诉、多处投诉，阻碍招标投标活动正常进行。</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宋体" w:hAnsi="宋体" w:eastAsia="宋体" w:cs="宋体"/>
                <w:sz w:val="24"/>
                <w:szCs w:val="24"/>
                <w:lang w:val="en-US" w:eastAsia="zh-CN"/>
              </w:rPr>
            </w:pPr>
            <w:r>
              <w:rPr>
                <w:rFonts w:hint="eastAsia" w:ascii="仿宋" w:hAnsi="仿宋" w:eastAsia="仿宋" w:cs="仿宋"/>
                <w:sz w:val="24"/>
                <w:szCs w:val="24"/>
                <w:lang w:val="en-US" w:eastAsia="zh-CN"/>
              </w:rPr>
              <w:t>2.不按规定的格式、程序和要求进行投诉。</w:t>
            </w:r>
          </w:p>
        </w:tc>
        <w:tc>
          <w:tcPr>
            <w:tcW w:w="3749"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《招标投标法实施条例》第六十一条</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《工程建设项目招标投标活动投诉处理办法》第七条</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宋体" w:hAnsi="宋体" w:eastAsia="宋体" w:cs="宋体"/>
                <w:spacing w:val="7"/>
                <w:sz w:val="24"/>
                <w:szCs w:val="24"/>
              </w:rPr>
            </w:pPr>
            <w:r>
              <w:rPr>
                <w:rFonts w:hint="eastAsia" w:ascii="仿宋" w:hAnsi="仿宋" w:eastAsia="仿宋" w:cs="仿宋"/>
                <w:sz w:val="21"/>
                <w:szCs w:val="21"/>
                <w:lang w:val="en-US" w:eastAsia="zh-CN"/>
              </w:rPr>
              <w:t>《湖北省公共资源招标投标投诉处理办法》（鄂公管委发〔2021〕7 号）第六条、第十四条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noWrap w:val="0"/>
            <w:vAlign w:val="center"/>
          </w:tcPr>
          <w:p>
            <w:pPr>
              <w:widowControl w:val="0"/>
              <w:spacing w:before="127" w:line="221" w:lineRule="auto"/>
              <w:ind w:left="168" w:leftChars="0"/>
              <w:jc w:val="both"/>
              <w:rPr>
                <w:rFonts w:hint="eastAsia" w:ascii="仿宋" w:hAnsi="仿宋" w:eastAsia="仿宋" w:cs="仿宋"/>
                <w:sz w:val="32"/>
                <w:szCs w:val="32"/>
                <w:vertAlign w:val="baseline"/>
              </w:rPr>
            </w:pPr>
            <w:r>
              <w:rPr>
                <w:rFonts w:ascii="宋体" w:hAnsi="宋体" w:eastAsia="宋体" w:cs="宋体"/>
                <w:spacing w:val="-3"/>
                <w:sz w:val="23"/>
                <w:szCs w:val="23"/>
              </w:rPr>
              <w:t>序</w:t>
            </w:r>
            <w:r>
              <w:rPr>
                <w:rFonts w:ascii="宋体" w:hAnsi="宋体" w:eastAsia="宋体" w:cs="宋体"/>
                <w:spacing w:val="-2"/>
                <w:sz w:val="23"/>
                <w:szCs w:val="23"/>
              </w:rPr>
              <w:t>号</w:t>
            </w:r>
          </w:p>
        </w:tc>
        <w:tc>
          <w:tcPr>
            <w:tcW w:w="1920" w:type="dxa"/>
            <w:noWrap w:val="0"/>
            <w:vAlign w:val="center"/>
          </w:tcPr>
          <w:p>
            <w:pPr>
              <w:widowControl w:val="0"/>
              <w:spacing w:before="126" w:line="219" w:lineRule="auto"/>
              <w:ind w:left="344" w:leftChars="0"/>
              <w:jc w:val="both"/>
              <w:rPr>
                <w:rFonts w:hint="eastAsia" w:ascii="仿宋" w:hAnsi="仿宋" w:eastAsia="仿宋" w:cs="仿宋"/>
                <w:sz w:val="32"/>
                <w:szCs w:val="32"/>
                <w:vertAlign w:val="baseline"/>
              </w:rPr>
            </w:pPr>
            <w:r>
              <w:rPr>
                <w:rFonts w:ascii="宋体" w:hAnsi="宋体" w:eastAsia="宋体" w:cs="宋体"/>
                <w:spacing w:val="-2"/>
                <w:sz w:val="23"/>
                <w:szCs w:val="23"/>
              </w:rPr>
              <w:t>禁止事项</w:t>
            </w:r>
          </w:p>
        </w:tc>
        <w:tc>
          <w:tcPr>
            <w:tcW w:w="7425" w:type="dxa"/>
            <w:noWrap w:val="0"/>
            <w:vAlign w:val="center"/>
          </w:tcPr>
          <w:p>
            <w:pPr>
              <w:widowControl w:val="0"/>
              <w:spacing w:before="126" w:line="219" w:lineRule="auto"/>
              <w:ind w:left="2865" w:leftChars="0"/>
              <w:jc w:val="both"/>
              <w:rPr>
                <w:rFonts w:hint="eastAsia" w:ascii="仿宋" w:hAnsi="仿宋" w:eastAsia="仿宋" w:cs="仿宋"/>
                <w:sz w:val="32"/>
                <w:szCs w:val="32"/>
                <w:vertAlign w:val="baseline"/>
              </w:rPr>
            </w:pPr>
            <w:r>
              <w:rPr>
                <w:rFonts w:ascii="宋体" w:hAnsi="宋体" w:eastAsia="宋体" w:cs="宋体"/>
                <w:spacing w:val="12"/>
                <w:sz w:val="23"/>
                <w:szCs w:val="23"/>
              </w:rPr>
              <w:t>具</w:t>
            </w:r>
            <w:r>
              <w:rPr>
                <w:rFonts w:ascii="宋体" w:hAnsi="宋体" w:eastAsia="宋体" w:cs="宋体"/>
                <w:spacing w:val="11"/>
                <w:sz w:val="23"/>
                <w:szCs w:val="23"/>
              </w:rPr>
              <w:t>体内容</w:t>
            </w:r>
          </w:p>
        </w:tc>
        <w:tc>
          <w:tcPr>
            <w:tcW w:w="3749" w:type="dxa"/>
            <w:noWrap w:val="0"/>
            <w:vAlign w:val="center"/>
          </w:tcPr>
          <w:p>
            <w:pPr>
              <w:widowControl w:val="0"/>
              <w:spacing w:before="124" w:line="219" w:lineRule="auto"/>
              <w:ind w:left="401" w:leftChars="0"/>
              <w:jc w:val="both"/>
              <w:rPr>
                <w:rFonts w:hint="eastAsia" w:ascii="仿宋" w:hAnsi="仿宋" w:eastAsia="仿宋" w:cs="仿宋"/>
                <w:sz w:val="32"/>
                <w:szCs w:val="32"/>
                <w:vertAlign w:val="baseline"/>
              </w:rPr>
            </w:pPr>
            <w:r>
              <w:rPr>
                <w:rFonts w:ascii="宋体" w:hAnsi="宋体" w:eastAsia="宋体" w:cs="宋体"/>
                <w:spacing w:val="-1"/>
                <w:sz w:val="23"/>
                <w:szCs w:val="23"/>
              </w:rPr>
              <w:t>相关法律、法规和其</w:t>
            </w:r>
            <w:r>
              <w:rPr>
                <w:rFonts w:ascii="宋体" w:hAnsi="宋体" w:eastAsia="宋体" w:cs="宋体"/>
                <w:sz w:val="23"/>
                <w:szCs w:val="23"/>
              </w:rPr>
              <w:t>他依据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0" w:hRule="atLeast"/>
        </w:trPr>
        <w:tc>
          <w:tcPr>
            <w:tcW w:w="975"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jc w:val="center"/>
              <w:textAlignment w:val="baseline"/>
              <w:rPr>
                <w:rFonts w:hint="eastAsia" w:ascii="仿宋" w:hAnsi="仿宋" w:eastAsia="仿宋" w:cs="仿宋"/>
                <w:sz w:val="24"/>
                <w:szCs w:val="24"/>
                <w:vertAlign w:val="baseline"/>
              </w:rPr>
            </w:pPr>
            <w:r>
              <w:rPr>
                <w:rFonts w:ascii="宋体" w:hAnsi="宋体" w:eastAsia="宋体" w:cs="宋体"/>
                <w:spacing w:val="-8"/>
                <w:sz w:val="24"/>
                <w:szCs w:val="24"/>
              </w:rPr>
              <w:t>1</w:t>
            </w:r>
            <w:r>
              <w:rPr>
                <w:rFonts w:ascii="宋体" w:hAnsi="宋体" w:eastAsia="宋体" w:cs="宋体"/>
                <w:spacing w:val="-6"/>
                <w:sz w:val="24"/>
                <w:szCs w:val="24"/>
              </w:rPr>
              <w:t>8</w:t>
            </w:r>
          </w:p>
        </w:tc>
        <w:tc>
          <w:tcPr>
            <w:tcW w:w="1920"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rightChars="0"/>
              <w:jc w:val="left"/>
              <w:textAlignment w:val="baseline"/>
              <w:rPr>
                <w:rFonts w:hint="eastAsia" w:ascii="仿宋" w:hAnsi="仿宋" w:eastAsia="仿宋" w:cs="仿宋"/>
                <w:sz w:val="24"/>
                <w:szCs w:val="24"/>
                <w:vertAlign w:val="baseline"/>
              </w:rPr>
            </w:pPr>
            <w:r>
              <w:rPr>
                <w:rFonts w:hint="eastAsia" w:ascii="仿宋" w:hAnsi="仿宋" w:eastAsia="仿宋" w:cs="仿宋"/>
                <w:sz w:val="24"/>
                <w:szCs w:val="24"/>
                <w:lang w:val="en-US" w:eastAsia="zh-CN"/>
              </w:rPr>
              <w:t>擅自中(终) 止招标及终止程序不规范</w:t>
            </w:r>
          </w:p>
        </w:tc>
        <w:tc>
          <w:tcPr>
            <w:tcW w:w="7425"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1.擅自中止、终止招标。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终止招标时，不及时发布公告，或者未及时以书面形式通知被邀请的或者已经获取资格预审文件、招标文件的潜在投标人；已经发售资格预审文件、招标文件，不及时退还所收取的资格预审文件、招标文件的费用。</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lang w:val="en-US" w:eastAsia="zh-CN"/>
              </w:rPr>
              <w:t>3.未能在投标有效期内完成定标，且不通知所有投标人延长投标有效期。</w:t>
            </w:r>
          </w:p>
        </w:tc>
        <w:tc>
          <w:tcPr>
            <w:tcW w:w="3749"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《招标投标法实施条例》第三十一条</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《评标委员会和评标方法暂行规定》第四十条</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《湖北省公共资源招标投标监督管理条例》第十九条</w:t>
            </w:r>
          </w:p>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rightChars="0" w:hanging="119" w:firstLineChars="0"/>
              <w:jc w:val="both"/>
              <w:textAlignment w:val="baseline"/>
              <w:rPr>
                <w:rFonts w:hint="eastAsia" w:ascii="仿宋" w:hAnsi="仿宋" w:eastAsia="仿宋" w:cs="仿宋"/>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trPr>
        <w:tc>
          <w:tcPr>
            <w:tcW w:w="975"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jc w:val="center"/>
              <w:textAlignment w:val="baseline"/>
              <w:rPr>
                <w:rFonts w:hint="default"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19</w:t>
            </w:r>
          </w:p>
        </w:tc>
        <w:tc>
          <w:tcPr>
            <w:tcW w:w="1920"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jc w:val="left"/>
              <w:textAlignment w:val="baseline"/>
              <w:rPr>
                <w:rFonts w:hint="eastAsia" w:ascii="宋体" w:hAnsi="宋体" w:eastAsia="宋体" w:cs="宋体"/>
                <w:spacing w:val="6"/>
                <w:sz w:val="24"/>
                <w:szCs w:val="24"/>
              </w:rPr>
            </w:pPr>
            <w:r>
              <w:rPr>
                <w:rFonts w:hint="eastAsia" w:ascii="仿宋" w:hAnsi="仿宋" w:eastAsia="仿宋" w:cs="仿宋"/>
                <w:sz w:val="24"/>
                <w:szCs w:val="24"/>
                <w:lang w:val="en-US" w:eastAsia="zh-CN"/>
              </w:rPr>
              <w:t>不配合行政监 督部门依法实 施的监督检查</w:t>
            </w:r>
          </w:p>
        </w:tc>
        <w:tc>
          <w:tcPr>
            <w:tcW w:w="7425"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1.不配合投诉调查处理或者案件查办。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宋体" w:hAnsi="宋体" w:eastAsia="宋体" w:cs="宋体"/>
                <w:spacing w:val="6"/>
                <w:sz w:val="24"/>
                <w:szCs w:val="24"/>
              </w:rPr>
            </w:pPr>
            <w:r>
              <w:rPr>
                <w:rFonts w:hint="eastAsia" w:ascii="仿宋" w:hAnsi="仿宋" w:eastAsia="仿宋" w:cs="仿宋"/>
                <w:sz w:val="24"/>
                <w:szCs w:val="24"/>
                <w:lang w:val="en-US" w:eastAsia="zh-CN"/>
              </w:rPr>
              <w:t>2.在有关部门处理投诉、查办案件调查有关情况时，提供虚假情况或者作伪证。</w:t>
            </w:r>
          </w:p>
        </w:tc>
        <w:tc>
          <w:tcPr>
            <w:tcW w:w="3749"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《招标投标法实施条例》第六十二条</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《湖北省公共资源招标投标监督管理条例》第二十四条</w:t>
            </w:r>
          </w:p>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jc w:val="both"/>
              <w:textAlignment w:val="baseline"/>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noWrap w:val="0"/>
            <w:vAlign w:val="center"/>
          </w:tcPr>
          <w:p>
            <w:pPr>
              <w:widowControl w:val="0"/>
              <w:spacing w:before="78" w:line="185" w:lineRule="auto"/>
              <w:jc w:val="center"/>
              <w:rPr>
                <w:rFonts w:hint="eastAsia" w:ascii="仿宋" w:hAnsi="仿宋" w:eastAsia="仿宋" w:cs="仿宋"/>
                <w:sz w:val="24"/>
                <w:szCs w:val="24"/>
                <w:vertAlign w:val="baseline"/>
              </w:rPr>
            </w:pPr>
            <w:r>
              <w:rPr>
                <w:rFonts w:ascii="宋体" w:hAnsi="宋体" w:eastAsia="宋体" w:cs="宋体"/>
                <w:spacing w:val="-4"/>
                <w:sz w:val="24"/>
                <w:szCs w:val="24"/>
              </w:rPr>
              <w:t>2</w:t>
            </w:r>
            <w:r>
              <w:rPr>
                <w:rFonts w:ascii="宋体" w:hAnsi="宋体" w:eastAsia="宋体" w:cs="宋体"/>
                <w:spacing w:val="-3"/>
                <w:sz w:val="24"/>
                <w:szCs w:val="24"/>
              </w:rPr>
              <w:t>0</w:t>
            </w:r>
          </w:p>
        </w:tc>
        <w:tc>
          <w:tcPr>
            <w:tcW w:w="1920" w:type="dxa"/>
            <w:noWrap w:val="0"/>
            <w:vAlign w:val="center"/>
          </w:tcPr>
          <w:p>
            <w:pPr>
              <w:widowControl w:val="0"/>
              <w:spacing w:before="78" w:line="241" w:lineRule="auto"/>
              <w:ind w:right="114" w:rightChars="0"/>
              <w:jc w:val="left"/>
              <w:rPr>
                <w:rFonts w:hint="eastAsia" w:ascii="仿宋" w:hAnsi="仿宋" w:eastAsia="仿宋" w:cs="仿宋"/>
                <w:sz w:val="24"/>
                <w:szCs w:val="24"/>
                <w:vertAlign w:val="baseline"/>
              </w:rPr>
            </w:pPr>
            <w:r>
              <w:rPr>
                <w:rFonts w:hint="eastAsia" w:ascii="仿宋" w:hAnsi="仿宋" w:eastAsia="仿宋" w:cs="仿宋"/>
                <w:sz w:val="24"/>
                <w:szCs w:val="24"/>
                <w:lang w:val="en-US" w:eastAsia="zh-CN"/>
              </w:rPr>
              <w:t>代理机构不按 照法律规定履 行代理职责</w:t>
            </w:r>
          </w:p>
        </w:tc>
        <w:tc>
          <w:tcPr>
            <w:tcW w:w="7425"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left"/>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1.在所代理的招标项目中投标、代理投标或者向该项目投标人提供咨询，接受委托编制标底的中介机构参加受托编制标底项目的投标或者为该项目的投标人编制投标文件、提供咨询。                                                            2.招标代理机构在代理过程中接受贿赂或者获取其他不正当利益。                                                       3.招标代理机构与招标人、投标人串通损害国家利益、社会公共利益或者他人合法权益。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lang w:val="en-US" w:eastAsia="zh-CN"/>
              </w:rPr>
              <w:t>4.招标代理机构泄露应当保密的信息以及隐匿、销毁应当保存的文件资料或者伪造、变造文件资料。</w:t>
            </w:r>
          </w:p>
        </w:tc>
        <w:tc>
          <w:tcPr>
            <w:tcW w:w="3749"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《招标投标法》第十五条，第五十条</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《招标投标法实施条例》第十三条，第二十七条，第六十二条</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《湖北省公共资源招标投标监督管理条例》第二十一条</w:t>
            </w:r>
          </w:p>
          <w:p>
            <w:pPr>
              <w:widowControl w:val="0"/>
              <w:spacing w:line="248" w:lineRule="auto"/>
              <w:ind w:left="118" w:leftChars="0" w:right="93" w:rightChars="0" w:hanging="119" w:firstLineChars="0"/>
              <w:jc w:val="both"/>
              <w:rPr>
                <w:rFonts w:hint="eastAsia" w:ascii="仿宋" w:hAnsi="仿宋" w:eastAsia="仿宋" w:cs="仿宋"/>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4069" w:type="dxa"/>
            <w:gridSpan w:val="4"/>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firstLine="6720" w:firstLineChars="3000"/>
              <w:jc w:val="both"/>
              <w:textAlignment w:val="baseline"/>
              <w:rPr>
                <w:rFonts w:hint="eastAsia" w:ascii="仿宋" w:hAnsi="仿宋" w:eastAsia="仿宋" w:cs="仿宋"/>
                <w:sz w:val="32"/>
                <w:szCs w:val="32"/>
                <w:vertAlign w:val="baseline"/>
              </w:rPr>
            </w:pPr>
            <w:r>
              <w:rPr>
                <w:rFonts w:ascii="宋体" w:hAnsi="宋体" w:eastAsia="宋体" w:cs="宋体"/>
                <w:spacing w:val="-3"/>
                <w:sz w:val="23"/>
                <w:szCs w:val="23"/>
              </w:rPr>
              <w:t>二</w:t>
            </w:r>
            <w:r>
              <w:rPr>
                <w:rFonts w:ascii="宋体" w:hAnsi="宋体" w:eastAsia="宋体" w:cs="宋体"/>
                <w:spacing w:val="-2"/>
                <w:sz w:val="23"/>
                <w:szCs w:val="23"/>
              </w:rPr>
              <w:t>、投标人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noWrap w:val="0"/>
            <w:vAlign w:val="center"/>
          </w:tcPr>
          <w:p>
            <w:pPr>
              <w:widowControl w:val="0"/>
              <w:spacing w:before="127" w:line="221" w:lineRule="auto"/>
              <w:ind w:left="168" w:leftChars="0"/>
              <w:jc w:val="both"/>
              <w:rPr>
                <w:rFonts w:ascii="宋体" w:hAnsi="宋体" w:eastAsia="宋体" w:cs="宋体"/>
                <w:spacing w:val="-4"/>
                <w:sz w:val="24"/>
                <w:szCs w:val="24"/>
              </w:rPr>
            </w:pPr>
            <w:r>
              <w:rPr>
                <w:rFonts w:ascii="宋体" w:hAnsi="宋体" w:eastAsia="宋体" w:cs="宋体"/>
                <w:spacing w:val="-3"/>
                <w:sz w:val="23"/>
                <w:szCs w:val="23"/>
              </w:rPr>
              <w:t>序</w:t>
            </w:r>
            <w:r>
              <w:rPr>
                <w:rFonts w:ascii="宋体" w:hAnsi="宋体" w:eastAsia="宋体" w:cs="宋体"/>
                <w:spacing w:val="-2"/>
                <w:sz w:val="23"/>
                <w:szCs w:val="23"/>
              </w:rPr>
              <w:t>号</w:t>
            </w:r>
          </w:p>
        </w:tc>
        <w:tc>
          <w:tcPr>
            <w:tcW w:w="1920" w:type="dxa"/>
            <w:noWrap w:val="0"/>
            <w:vAlign w:val="center"/>
          </w:tcPr>
          <w:p>
            <w:pPr>
              <w:widowControl w:val="0"/>
              <w:spacing w:before="126" w:line="219" w:lineRule="auto"/>
              <w:ind w:left="344" w:leftChars="0"/>
              <w:jc w:val="both"/>
              <w:rPr>
                <w:rFonts w:ascii="宋体" w:hAnsi="宋体" w:eastAsia="宋体" w:cs="宋体"/>
                <w:spacing w:val="2"/>
                <w:sz w:val="24"/>
                <w:szCs w:val="24"/>
              </w:rPr>
            </w:pPr>
            <w:r>
              <w:rPr>
                <w:rFonts w:ascii="宋体" w:hAnsi="宋体" w:eastAsia="宋体" w:cs="宋体"/>
                <w:spacing w:val="-2"/>
                <w:sz w:val="23"/>
                <w:szCs w:val="23"/>
              </w:rPr>
              <w:t>禁止事项</w:t>
            </w:r>
          </w:p>
        </w:tc>
        <w:tc>
          <w:tcPr>
            <w:tcW w:w="7425" w:type="dxa"/>
            <w:noWrap w:val="0"/>
            <w:vAlign w:val="center"/>
          </w:tcPr>
          <w:p>
            <w:pPr>
              <w:widowControl w:val="0"/>
              <w:spacing w:before="126" w:line="219" w:lineRule="auto"/>
              <w:ind w:left="2865" w:leftChars="0"/>
              <w:jc w:val="both"/>
              <w:rPr>
                <w:rFonts w:ascii="宋体" w:hAnsi="宋体" w:eastAsia="宋体" w:cs="宋体"/>
                <w:spacing w:val="10"/>
                <w:sz w:val="24"/>
                <w:szCs w:val="24"/>
              </w:rPr>
            </w:pPr>
            <w:r>
              <w:rPr>
                <w:rFonts w:ascii="宋体" w:hAnsi="宋体" w:eastAsia="宋体" w:cs="宋体"/>
                <w:spacing w:val="12"/>
                <w:sz w:val="23"/>
                <w:szCs w:val="23"/>
              </w:rPr>
              <w:t>具</w:t>
            </w:r>
            <w:r>
              <w:rPr>
                <w:rFonts w:ascii="宋体" w:hAnsi="宋体" w:eastAsia="宋体" w:cs="宋体"/>
                <w:spacing w:val="11"/>
                <w:sz w:val="23"/>
                <w:szCs w:val="23"/>
              </w:rPr>
              <w:t>体内容</w:t>
            </w:r>
          </w:p>
        </w:tc>
        <w:tc>
          <w:tcPr>
            <w:tcW w:w="3749" w:type="dxa"/>
            <w:noWrap w:val="0"/>
            <w:vAlign w:val="center"/>
          </w:tcPr>
          <w:p>
            <w:pPr>
              <w:widowControl w:val="0"/>
              <w:spacing w:before="124" w:line="219" w:lineRule="auto"/>
              <w:ind w:left="401" w:leftChars="0"/>
              <w:jc w:val="both"/>
              <w:rPr>
                <w:rFonts w:hint="eastAsia" w:ascii="宋体" w:hAnsi="宋体" w:eastAsia="宋体" w:cs="宋体"/>
                <w:spacing w:val="10"/>
                <w:sz w:val="24"/>
                <w:szCs w:val="24"/>
              </w:rPr>
            </w:pPr>
            <w:r>
              <w:rPr>
                <w:rFonts w:ascii="宋体" w:hAnsi="宋体" w:eastAsia="宋体" w:cs="宋体"/>
                <w:spacing w:val="-1"/>
                <w:sz w:val="23"/>
                <w:szCs w:val="23"/>
              </w:rPr>
              <w:t>相关法律、法规和其</w:t>
            </w:r>
            <w:r>
              <w:rPr>
                <w:rFonts w:ascii="宋体" w:hAnsi="宋体" w:eastAsia="宋体" w:cs="宋体"/>
                <w:sz w:val="23"/>
                <w:szCs w:val="23"/>
              </w:rPr>
              <w:t>他依据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jc w:val="center"/>
              <w:textAlignment w:val="baseline"/>
              <w:rPr>
                <w:rFonts w:hint="eastAsia" w:ascii="仿宋" w:hAnsi="仿宋" w:eastAsia="仿宋" w:cs="仿宋"/>
                <w:sz w:val="24"/>
                <w:szCs w:val="24"/>
                <w:vertAlign w:val="baseline"/>
              </w:rPr>
            </w:pPr>
            <w:r>
              <w:rPr>
                <w:rFonts w:ascii="宋体" w:hAnsi="宋体" w:eastAsia="宋体" w:cs="宋体"/>
                <w:spacing w:val="-4"/>
                <w:sz w:val="24"/>
                <w:szCs w:val="24"/>
              </w:rPr>
              <w:t>2</w:t>
            </w:r>
            <w:r>
              <w:rPr>
                <w:rFonts w:ascii="宋体" w:hAnsi="宋体" w:eastAsia="宋体" w:cs="宋体"/>
                <w:spacing w:val="-3"/>
                <w:sz w:val="24"/>
                <w:szCs w:val="24"/>
              </w:rPr>
              <w:t>1</w:t>
            </w:r>
          </w:p>
        </w:tc>
        <w:tc>
          <w:tcPr>
            <w:tcW w:w="1920"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rightChars="0"/>
              <w:jc w:val="left"/>
              <w:textAlignment w:val="baseline"/>
              <w:rPr>
                <w:rFonts w:hint="eastAsia" w:ascii="仿宋" w:hAnsi="仿宋" w:eastAsia="仿宋" w:cs="仿宋"/>
                <w:sz w:val="24"/>
                <w:szCs w:val="24"/>
                <w:vertAlign w:val="baseline"/>
              </w:rPr>
            </w:pPr>
            <w:r>
              <w:rPr>
                <w:rFonts w:hint="eastAsia" w:ascii="仿宋" w:hAnsi="仿宋" w:eastAsia="仿宋" w:cs="仿宋"/>
                <w:sz w:val="24"/>
                <w:szCs w:val="24"/>
                <w:lang w:val="en-US" w:eastAsia="zh-CN"/>
              </w:rPr>
              <w:t>不符合要求参与投标</w:t>
            </w:r>
          </w:p>
        </w:tc>
        <w:tc>
          <w:tcPr>
            <w:tcW w:w="7425"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1.单位负责人为同一人或者存在控股、管理关系的不同单位，参加同一标段投标或者未划分标段的同一招标项目投标。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lang w:val="en-US" w:eastAsia="zh-CN"/>
              </w:rPr>
              <w:t>2.以他人名义、借用资质参加投标。</w:t>
            </w:r>
          </w:p>
        </w:tc>
        <w:tc>
          <w:tcPr>
            <w:tcW w:w="3749"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《招标投标法实施条例》第三十四条</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宋体" w:hAnsi="宋体" w:eastAsia="宋体" w:cs="宋体"/>
                <w:spacing w:val="10"/>
                <w:sz w:val="24"/>
                <w:szCs w:val="24"/>
              </w:rPr>
            </w:pPr>
            <w:r>
              <w:rPr>
                <w:rFonts w:hint="eastAsia" w:ascii="仿宋" w:hAnsi="仿宋" w:eastAsia="仿宋" w:cs="仿宋"/>
                <w:sz w:val="21"/>
                <w:szCs w:val="21"/>
                <w:lang w:val="en-US" w:eastAsia="zh-CN"/>
              </w:rPr>
              <w:t>《湖北省公共资源招标投标监督管理条例》第二十条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jc w:val="center"/>
              <w:textAlignment w:val="baseline"/>
              <w:rPr>
                <w:rFonts w:hint="eastAsia" w:ascii="仿宋" w:hAnsi="仿宋" w:eastAsia="仿宋" w:cs="仿宋"/>
                <w:sz w:val="24"/>
                <w:szCs w:val="24"/>
                <w:vertAlign w:val="baseline"/>
              </w:rPr>
            </w:pPr>
            <w:r>
              <w:rPr>
                <w:rFonts w:ascii="宋体" w:hAnsi="宋体" w:eastAsia="宋体" w:cs="宋体"/>
                <w:spacing w:val="-4"/>
                <w:sz w:val="24"/>
                <w:szCs w:val="24"/>
              </w:rPr>
              <w:t>2</w:t>
            </w:r>
            <w:r>
              <w:rPr>
                <w:rFonts w:ascii="宋体" w:hAnsi="宋体" w:eastAsia="宋体" w:cs="宋体"/>
                <w:spacing w:val="-3"/>
                <w:sz w:val="24"/>
                <w:szCs w:val="24"/>
              </w:rPr>
              <w:t>2</w:t>
            </w:r>
          </w:p>
        </w:tc>
        <w:tc>
          <w:tcPr>
            <w:tcW w:w="1920"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right="0" w:rightChars="0"/>
              <w:jc w:val="left"/>
              <w:textAlignment w:val="baseline"/>
              <w:rPr>
                <w:rFonts w:hint="eastAsia" w:ascii="仿宋" w:hAnsi="仿宋" w:eastAsia="仿宋" w:cs="仿宋"/>
                <w:sz w:val="24"/>
                <w:szCs w:val="24"/>
                <w:vertAlign w:val="baseline"/>
              </w:rPr>
            </w:pPr>
            <w:r>
              <w:rPr>
                <w:rFonts w:hint="eastAsia" w:ascii="仿宋" w:hAnsi="仿宋" w:eastAsia="仿宋" w:cs="仿宋"/>
                <w:sz w:val="24"/>
                <w:szCs w:val="24"/>
                <w:lang w:val="en-US" w:eastAsia="zh-CN"/>
              </w:rPr>
              <w:t>在投标中弄虚作假</w:t>
            </w:r>
          </w:p>
        </w:tc>
        <w:tc>
          <w:tcPr>
            <w:tcW w:w="7425"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1.使用伪造、变造的许可证件。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2.提供虚假的财务状况或业绩。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3.提供虚假的项目负责人或者主要技术人员简历、劳动关系证明、社保证明。</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4.提供虚假的信用状况。</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5.其他弄虚作假的行为。</w:t>
            </w:r>
          </w:p>
        </w:tc>
        <w:tc>
          <w:tcPr>
            <w:tcW w:w="3749"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《招标投标法》第三十三条</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《招标投标法实施条例》第四十二条</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lang w:val="en-US" w:eastAsia="zh-CN"/>
              </w:rPr>
              <w:t>《湖北省公共资源招标投标监督管理条例》第二十条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jc w:val="center"/>
              <w:textAlignment w:val="baseline"/>
              <w:rPr>
                <w:rFonts w:hint="eastAsia" w:ascii="仿宋" w:hAnsi="仿宋" w:eastAsia="仿宋" w:cs="仿宋"/>
                <w:sz w:val="24"/>
                <w:szCs w:val="24"/>
                <w:vertAlign w:val="baseline"/>
              </w:rPr>
            </w:pPr>
            <w:r>
              <w:rPr>
                <w:rFonts w:ascii="宋体" w:hAnsi="宋体" w:eastAsia="宋体" w:cs="宋体"/>
                <w:spacing w:val="-4"/>
                <w:sz w:val="24"/>
                <w:szCs w:val="24"/>
              </w:rPr>
              <w:t>2</w:t>
            </w:r>
            <w:r>
              <w:rPr>
                <w:rFonts w:ascii="宋体" w:hAnsi="宋体" w:eastAsia="宋体" w:cs="宋体"/>
                <w:spacing w:val="-3"/>
                <w:sz w:val="24"/>
                <w:szCs w:val="24"/>
              </w:rPr>
              <w:t>3</w:t>
            </w:r>
          </w:p>
        </w:tc>
        <w:tc>
          <w:tcPr>
            <w:tcW w:w="1920"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right="0" w:rightChars="0"/>
              <w:jc w:val="left"/>
              <w:textAlignment w:val="baseline"/>
              <w:rPr>
                <w:rFonts w:hint="eastAsia" w:ascii="仿宋" w:hAnsi="仿宋" w:eastAsia="仿宋" w:cs="仿宋"/>
                <w:sz w:val="24"/>
                <w:szCs w:val="24"/>
                <w:vertAlign w:val="baseline"/>
              </w:rPr>
            </w:pPr>
            <w:r>
              <w:rPr>
                <w:rFonts w:hint="eastAsia" w:ascii="仿宋" w:hAnsi="仿宋" w:eastAsia="仿宋" w:cs="仿宋"/>
                <w:sz w:val="24"/>
                <w:szCs w:val="24"/>
                <w:lang w:val="en-US" w:eastAsia="zh-CN"/>
              </w:rPr>
              <w:t>组织或参与围标、串标</w:t>
            </w:r>
          </w:p>
        </w:tc>
        <w:tc>
          <w:tcPr>
            <w:tcW w:w="7425"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1.投标人相互串通投标报价，排挤其他投标人的公平竞争，损害招标人或者其他投标人的合法权益。</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2.投标人不得与招标人串通投标，损害国家利益、社会公共利益或者他人的合法权益。</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3.投标人之间协商投标报价等投标文件的实质性内容。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4.投标人之间约定中标人。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5.投标人之间约定部分投标人放弃投标或者中标。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6.属于同一集团、协会、商会等组织成员的投标人按照该组织要求协同投标。</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宋体" w:hAnsi="宋体" w:eastAsia="宋体" w:cs="宋体"/>
                <w:spacing w:val="10"/>
                <w:sz w:val="24"/>
                <w:szCs w:val="24"/>
              </w:rPr>
            </w:pPr>
            <w:r>
              <w:rPr>
                <w:rFonts w:hint="eastAsia" w:ascii="仿宋" w:hAnsi="仿宋" w:eastAsia="仿宋" w:cs="仿宋"/>
                <w:sz w:val="24"/>
                <w:szCs w:val="24"/>
                <w:lang w:val="en-US" w:eastAsia="zh-CN"/>
              </w:rPr>
              <w:t>7.投标人之间为谋取中标或者排斥特定投标人而采取的其他联合行动。</w:t>
            </w:r>
          </w:p>
        </w:tc>
        <w:tc>
          <w:tcPr>
            <w:tcW w:w="3749"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《招标投标法》第三十二条</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lang w:val="en-US" w:eastAsia="zh-CN"/>
              </w:rPr>
              <w:t>《招标投标法实施条例》第三十九条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975" w:type="dxa"/>
            <w:noWrap w:val="0"/>
            <w:vAlign w:val="center"/>
          </w:tcPr>
          <w:p>
            <w:pPr>
              <w:widowControl w:val="0"/>
              <w:spacing w:before="107" w:line="221" w:lineRule="auto"/>
              <w:ind w:left="158" w:leftChars="0"/>
              <w:jc w:val="both"/>
              <w:rPr>
                <w:rFonts w:hint="eastAsia" w:ascii="仿宋" w:hAnsi="仿宋" w:eastAsia="仿宋" w:cs="仿宋"/>
                <w:sz w:val="32"/>
                <w:szCs w:val="32"/>
                <w:vertAlign w:val="baseline"/>
              </w:rPr>
            </w:pPr>
            <w:r>
              <w:rPr>
                <w:rFonts w:ascii="宋体" w:hAnsi="宋体" w:eastAsia="宋体" w:cs="宋体"/>
                <w:spacing w:val="-3"/>
                <w:sz w:val="23"/>
                <w:szCs w:val="23"/>
              </w:rPr>
              <w:t>序</w:t>
            </w:r>
            <w:r>
              <w:rPr>
                <w:rFonts w:ascii="宋体" w:hAnsi="宋体" w:eastAsia="宋体" w:cs="宋体"/>
                <w:spacing w:val="-2"/>
                <w:sz w:val="23"/>
                <w:szCs w:val="23"/>
              </w:rPr>
              <w:t>号</w:t>
            </w:r>
          </w:p>
        </w:tc>
        <w:tc>
          <w:tcPr>
            <w:tcW w:w="1920" w:type="dxa"/>
            <w:noWrap w:val="0"/>
            <w:vAlign w:val="center"/>
          </w:tcPr>
          <w:p>
            <w:pPr>
              <w:widowControl w:val="0"/>
              <w:spacing w:before="106" w:line="219" w:lineRule="auto"/>
              <w:ind w:left="344" w:leftChars="0"/>
              <w:jc w:val="both"/>
              <w:rPr>
                <w:rFonts w:hint="eastAsia" w:ascii="仿宋" w:hAnsi="仿宋" w:eastAsia="仿宋" w:cs="仿宋"/>
                <w:sz w:val="32"/>
                <w:szCs w:val="32"/>
                <w:vertAlign w:val="baseline"/>
              </w:rPr>
            </w:pPr>
            <w:r>
              <w:rPr>
                <w:rFonts w:ascii="宋体" w:hAnsi="宋体" w:eastAsia="宋体" w:cs="宋体"/>
                <w:spacing w:val="-2"/>
                <w:sz w:val="23"/>
                <w:szCs w:val="23"/>
              </w:rPr>
              <w:t>禁止事项</w:t>
            </w:r>
          </w:p>
        </w:tc>
        <w:tc>
          <w:tcPr>
            <w:tcW w:w="7425" w:type="dxa"/>
            <w:noWrap w:val="0"/>
            <w:vAlign w:val="center"/>
          </w:tcPr>
          <w:p>
            <w:pPr>
              <w:widowControl w:val="0"/>
              <w:spacing w:before="106" w:line="219" w:lineRule="auto"/>
              <w:ind w:left="2865" w:leftChars="0"/>
              <w:jc w:val="both"/>
              <w:rPr>
                <w:rFonts w:hint="eastAsia" w:ascii="仿宋" w:hAnsi="仿宋" w:eastAsia="仿宋" w:cs="仿宋"/>
                <w:sz w:val="32"/>
                <w:szCs w:val="32"/>
                <w:vertAlign w:val="baseline"/>
              </w:rPr>
            </w:pPr>
            <w:r>
              <w:rPr>
                <w:rFonts w:ascii="宋体" w:hAnsi="宋体" w:eastAsia="宋体" w:cs="宋体"/>
                <w:spacing w:val="12"/>
                <w:sz w:val="23"/>
                <w:szCs w:val="23"/>
              </w:rPr>
              <w:t>具</w:t>
            </w:r>
            <w:r>
              <w:rPr>
                <w:rFonts w:ascii="宋体" w:hAnsi="宋体" w:eastAsia="宋体" w:cs="宋体"/>
                <w:spacing w:val="11"/>
                <w:sz w:val="23"/>
                <w:szCs w:val="23"/>
              </w:rPr>
              <w:t>体内容</w:t>
            </w:r>
          </w:p>
        </w:tc>
        <w:tc>
          <w:tcPr>
            <w:tcW w:w="3749" w:type="dxa"/>
            <w:noWrap w:val="0"/>
            <w:vAlign w:val="center"/>
          </w:tcPr>
          <w:p>
            <w:pPr>
              <w:widowControl w:val="0"/>
              <w:spacing w:before="104" w:line="219" w:lineRule="auto"/>
              <w:ind w:left="401" w:leftChars="0"/>
              <w:jc w:val="both"/>
              <w:rPr>
                <w:rFonts w:hint="eastAsia" w:ascii="仿宋" w:hAnsi="仿宋" w:eastAsia="仿宋" w:cs="仿宋"/>
                <w:sz w:val="32"/>
                <w:szCs w:val="32"/>
                <w:vertAlign w:val="baseline"/>
              </w:rPr>
            </w:pPr>
            <w:r>
              <w:rPr>
                <w:rFonts w:ascii="宋体" w:hAnsi="宋体" w:eastAsia="宋体" w:cs="宋体"/>
                <w:spacing w:val="-1"/>
                <w:sz w:val="23"/>
                <w:szCs w:val="23"/>
              </w:rPr>
              <w:t>相关法律、法规和其</w:t>
            </w:r>
            <w:r>
              <w:rPr>
                <w:rFonts w:ascii="宋体" w:hAnsi="宋体" w:eastAsia="宋体" w:cs="宋体"/>
                <w:sz w:val="23"/>
                <w:szCs w:val="23"/>
              </w:rPr>
              <w:t>他依据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center"/>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24</w:t>
            </w:r>
          </w:p>
        </w:tc>
        <w:tc>
          <w:tcPr>
            <w:tcW w:w="1920"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视为投标人相互串通投标</w:t>
            </w:r>
          </w:p>
        </w:tc>
        <w:tc>
          <w:tcPr>
            <w:tcW w:w="7425"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1.不同投标人的投标文件由同一单位或者个人编制。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2.不同投标人委托同一单位或者个人办理投标事宜。</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3.不同投标人的投标文件载明的项目管理成员为同一人。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4.不同投标人的投标文件异常一致或者投标报价呈规律性差异。</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5.不同投标人的投标文件相互混装。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6.不同投标人的投标保证金从同一单位或者个人的账户转出。</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宋体" w:hAnsi="宋体" w:eastAsia="宋体" w:cs="宋体"/>
                <w:spacing w:val="1"/>
                <w:sz w:val="24"/>
                <w:szCs w:val="24"/>
              </w:rPr>
            </w:pPr>
          </w:p>
        </w:tc>
        <w:tc>
          <w:tcPr>
            <w:tcW w:w="3749"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lang w:val="en-US" w:eastAsia="zh-CN"/>
              </w:rPr>
              <w:t>《招标投标法实施条例》第四十条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0" w:hRule="atLeast"/>
        </w:trPr>
        <w:tc>
          <w:tcPr>
            <w:tcW w:w="975"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jc w:val="center"/>
              <w:textAlignment w:val="baseline"/>
              <w:rPr>
                <w:rFonts w:hint="eastAsia" w:ascii="仿宋" w:hAnsi="仿宋" w:eastAsia="仿宋" w:cs="仿宋"/>
                <w:sz w:val="24"/>
                <w:szCs w:val="24"/>
                <w:vertAlign w:val="baseline"/>
              </w:rPr>
            </w:pPr>
            <w:r>
              <w:rPr>
                <w:rFonts w:ascii="宋体" w:hAnsi="宋体" w:eastAsia="宋体" w:cs="宋体"/>
                <w:spacing w:val="-4"/>
                <w:sz w:val="24"/>
                <w:szCs w:val="24"/>
              </w:rPr>
              <w:t>2</w:t>
            </w:r>
            <w:r>
              <w:rPr>
                <w:rFonts w:ascii="宋体" w:hAnsi="宋体" w:eastAsia="宋体" w:cs="宋体"/>
                <w:spacing w:val="-3"/>
                <w:sz w:val="24"/>
                <w:szCs w:val="24"/>
              </w:rPr>
              <w:t>5</w:t>
            </w:r>
          </w:p>
        </w:tc>
        <w:tc>
          <w:tcPr>
            <w:tcW w:w="1920"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lang w:val="en-US" w:eastAsia="zh-CN"/>
              </w:rPr>
              <w:t>中标后违约</w:t>
            </w:r>
          </w:p>
        </w:tc>
        <w:tc>
          <w:tcPr>
            <w:tcW w:w="7425"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1.中标后无正当理由不与招标人订立合同。</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2.中标后在签订合同时向招标人提出附加条件。</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3.与招标人签订合同的标的、价款、质量、履行期限等主要条款与招标文件和投标文件的内容不一致。</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4.与招标人再行订立背离合同实质性内容的协议。</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5.中标后将中标项目转让给他人或将中标项目肢解后分别转让给他人。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6.中标后将中标项目的部分主体、关键性工作分包给他人。</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7.中标后将中标项目的部分工作分包给不具备相应资格条件的分包人。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8.中标后不及时、足额按招标文件要求提交履约保证金。</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left"/>
              <w:textAlignment w:val="baseline"/>
              <w:rPr>
                <w:rFonts w:hint="eastAsia" w:ascii="宋体" w:hAnsi="宋体" w:eastAsia="宋体" w:cs="宋体"/>
                <w:sz w:val="24"/>
                <w:szCs w:val="24"/>
              </w:rPr>
            </w:pPr>
          </w:p>
        </w:tc>
        <w:tc>
          <w:tcPr>
            <w:tcW w:w="3749"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《招标投标法》第四十六条，第四十八条</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lang w:val="en-US" w:eastAsia="zh-CN"/>
              </w:rPr>
              <w:t>《招标投标法实施条例》第五十七条，第五十八条，第五十九条，第七十四条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75" w:type="dxa"/>
            <w:noWrap w:val="0"/>
            <w:vAlign w:val="center"/>
          </w:tcPr>
          <w:p>
            <w:pPr>
              <w:widowControl w:val="0"/>
              <w:spacing w:before="107" w:line="221" w:lineRule="auto"/>
              <w:ind w:left="158" w:leftChars="0"/>
              <w:jc w:val="both"/>
              <w:rPr>
                <w:rFonts w:hint="eastAsia" w:ascii="仿宋" w:hAnsi="仿宋" w:eastAsia="仿宋" w:cs="仿宋"/>
                <w:sz w:val="32"/>
                <w:szCs w:val="32"/>
                <w:vertAlign w:val="baseline"/>
              </w:rPr>
            </w:pPr>
            <w:r>
              <w:rPr>
                <w:rFonts w:ascii="宋体" w:hAnsi="宋体" w:eastAsia="宋体" w:cs="宋体"/>
                <w:spacing w:val="-3"/>
                <w:sz w:val="23"/>
                <w:szCs w:val="23"/>
              </w:rPr>
              <w:t>序</w:t>
            </w:r>
            <w:r>
              <w:rPr>
                <w:rFonts w:ascii="宋体" w:hAnsi="宋体" w:eastAsia="宋体" w:cs="宋体"/>
                <w:spacing w:val="-2"/>
                <w:sz w:val="23"/>
                <w:szCs w:val="23"/>
              </w:rPr>
              <w:t>号</w:t>
            </w:r>
          </w:p>
        </w:tc>
        <w:tc>
          <w:tcPr>
            <w:tcW w:w="1920" w:type="dxa"/>
            <w:noWrap w:val="0"/>
            <w:vAlign w:val="center"/>
          </w:tcPr>
          <w:p>
            <w:pPr>
              <w:widowControl w:val="0"/>
              <w:spacing w:before="106" w:line="219" w:lineRule="auto"/>
              <w:ind w:left="344" w:leftChars="0"/>
              <w:jc w:val="both"/>
              <w:rPr>
                <w:rFonts w:hint="eastAsia" w:ascii="仿宋" w:hAnsi="仿宋" w:eastAsia="仿宋" w:cs="仿宋"/>
                <w:sz w:val="32"/>
                <w:szCs w:val="32"/>
                <w:vertAlign w:val="baseline"/>
              </w:rPr>
            </w:pPr>
            <w:r>
              <w:rPr>
                <w:rFonts w:ascii="宋体" w:hAnsi="宋体" w:eastAsia="宋体" w:cs="宋体"/>
                <w:spacing w:val="-2"/>
                <w:sz w:val="23"/>
                <w:szCs w:val="23"/>
              </w:rPr>
              <w:t>禁止事项</w:t>
            </w:r>
          </w:p>
        </w:tc>
        <w:tc>
          <w:tcPr>
            <w:tcW w:w="7425" w:type="dxa"/>
            <w:noWrap w:val="0"/>
            <w:vAlign w:val="center"/>
          </w:tcPr>
          <w:p>
            <w:pPr>
              <w:widowControl w:val="0"/>
              <w:spacing w:before="106" w:line="219" w:lineRule="auto"/>
              <w:ind w:left="2865" w:leftChars="0"/>
              <w:jc w:val="both"/>
              <w:rPr>
                <w:rFonts w:hint="eastAsia" w:ascii="仿宋" w:hAnsi="仿宋" w:eastAsia="仿宋" w:cs="仿宋"/>
                <w:sz w:val="32"/>
                <w:szCs w:val="32"/>
                <w:vertAlign w:val="baseline"/>
              </w:rPr>
            </w:pPr>
            <w:r>
              <w:rPr>
                <w:rFonts w:ascii="宋体" w:hAnsi="宋体" w:eastAsia="宋体" w:cs="宋体"/>
                <w:spacing w:val="12"/>
                <w:sz w:val="23"/>
                <w:szCs w:val="23"/>
              </w:rPr>
              <w:t>具</w:t>
            </w:r>
            <w:r>
              <w:rPr>
                <w:rFonts w:ascii="宋体" w:hAnsi="宋体" w:eastAsia="宋体" w:cs="宋体"/>
                <w:spacing w:val="11"/>
                <w:sz w:val="23"/>
                <w:szCs w:val="23"/>
              </w:rPr>
              <w:t>体内容</w:t>
            </w:r>
          </w:p>
        </w:tc>
        <w:tc>
          <w:tcPr>
            <w:tcW w:w="3749" w:type="dxa"/>
            <w:noWrap w:val="0"/>
            <w:vAlign w:val="center"/>
          </w:tcPr>
          <w:p>
            <w:pPr>
              <w:widowControl w:val="0"/>
              <w:spacing w:before="104" w:line="219" w:lineRule="auto"/>
              <w:ind w:left="401" w:leftChars="0"/>
              <w:jc w:val="both"/>
              <w:rPr>
                <w:rFonts w:hint="eastAsia" w:ascii="仿宋" w:hAnsi="仿宋" w:eastAsia="仿宋" w:cs="仿宋"/>
                <w:sz w:val="32"/>
                <w:szCs w:val="32"/>
                <w:vertAlign w:val="baseline"/>
              </w:rPr>
            </w:pPr>
            <w:r>
              <w:rPr>
                <w:rFonts w:ascii="宋体" w:hAnsi="宋体" w:eastAsia="宋体" w:cs="宋体"/>
                <w:spacing w:val="-1"/>
                <w:sz w:val="23"/>
                <w:szCs w:val="23"/>
              </w:rPr>
              <w:t>相关法律、法规和其</w:t>
            </w:r>
            <w:r>
              <w:rPr>
                <w:rFonts w:ascii="宋体" w:hAnsi="宋体" w:eastAsia="宋体" w:cs="宋体"/>
                <w:sz w:val="23"/>
                <w:szCs w:val="23"/>
              </w:rPr>
              <w:t>他依据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jc w:val="center"/>
              <w:textAlignment w:val="baseline"/>
              <w:rPr>
                <w:rFonts w:hint="eastAsia" w:ascii="仿宋" w:hAnsi="仿宋" w:eastAsia="仿宋" w:cs="仿宋"/>
                <w:sz w:val="24"/>
                <w:szCs w:val="24"/>
                <w:vertAlign w:val="baseline"/>
              </w:rPr>
            </w:pPr>
            <w:r>
              <w:rPr>
                <w:rFonts w:ascii="宋体" w:hAnsi="宋体" w:eastAsia="宋体" w:cs="宋体"/>
                <w:spacing w:val="-4"/>
                <w:sz w:val="24"/>
                <w:szCs w:val="24"/>
              </w:rPr>
              <w:t>2</w:t>
            </w:r>
            <w:r>
              <w:rPr>
                <w:rFonts w:ascii="宋体" w:hAnsi="宋体" w:eastAsia="宋体" w:cs="宋体"/>
                <w:spacing w:val="-3"/>
                <w:sz w:val="24"/>
                <w:szCs w:val="24"/>
              </w:rPr>
              <w:t>6</w:t>
            </w:r>
          </w:p>
        </w:tc>
        <w:tc>
          <w:tcPr>
            <w:tcW w:w="1920"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rightChars="0"/>
              <w:jc w:val="left"/>
              <w:textAlignment w:val="baseline"/>
              <w:rPr>
                <w:rFonts w:hint="eastAsia" w:ascii="仿宋" w:hAnsi="仿宋" w:eastAsia="仿宋" w:cs="仿宋"/>
                <w:sz w:val="24"/>
                <w:szCs w:val="24"/>
                <w:vertAlign w:val="baseline"/>
              </w:rPr>
            </w:pPr>
            <w:r>
              <w:rPr>
                <w:rFonts w:hint="eastAsia" w:ascii="仿宋" w:hAnsi="仿宋" w:eastAsia="仿宋" w:cs="仿宋"/>
                <w:sz w:val="24"/>
                <w:szCs w:val="24"/>
                <w:lang w:val="en-US" w:eastAsia="zh-CN"/>
              </w:rPr>
              <w:t>不合理投诉、 恶意投诉</w:t>
            </w:r>
          </w:p>
        </w:tc>
        <w:tc>
          <w:tcPr>
            <w:tcW w:w="7425"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left"/>
              <w:textAlignment w:val="baseline"/>
              <w:rPr>
                <w:rFonts w:ascii="宋体" w:hAnsi="宋体" w:eastAsia="宋体" w:cs="宋体"/>
                <w:spacing w:val="18"/>
                <w:sz w:val="24"/>
                <w:szCs w:val="24"/>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1.未对资格预审文件、招标文件提出异议，评标（评审）结果出来后又对资格预审文件内容、招标文件内容进行投诉。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2.未提出异议或异议答复日期未满、超出投诉有效期向有关行政监督部门提出投诉。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3.捏造事实、伪造材料或以非法手段取得证明材料进行投诉。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4.已查明的事实不接受，反复投诉、多处投诉，阻碍招标投标活动正常进行。</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5.不按规定的格式、程序和要求进行投诉的。</w:t>
            </w:r>
          </w:p>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jc w:val="both"/>
              <w:textAlignment w:val="baseline"/>
              <w:rPr>
                <w:rFonts w:hint="eastAsia" w:ascii="宋体" w:hAnsi="宋体" w:eastAsia="宋体" w:cs="宋体"/>
                <w:sz w:val="24"/>
                <w:szCs w:val="24"/>
              </w:rPr>
            </w:pPr>
          </w:p>
        </w:tc>
        <w:tc>
          <w:tcPr>
            <w:tcW w:w="3749"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《招标投标法实施条例》第二十二条，第四十四条，第五十四条，第六十条，第六十一条</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《工程建设项目招标投标活动投诉处理办法》第七条</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《湖北省公共资源招标投标投诉处理办法》第六条、第十四条</w:t>
            </w:r>
          </w:p>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rightChars="0" w:hanging="119" w:firstLineChars="0"/>
              <w:jc w:val="both"/>
              <w:textAlignment w:val="baseline"/>
              <w:rPr>
                <w:rFonts w:hint="eastAsia" w:ascii="仿宋" w:hAnsi="仿宋" w:eastAsia="仿宋" w:cs="仿宋"/>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0" w:hRule="atLeast"/>
        </w:trPr>
        <w:tc>
          <w:tcPr>
            <w:tcW w:w="975"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jc w:val="center"/>
              <w:textAlignment w:val="baseline"/>
              <w:rPr>
                <w:rFonts w:hint="eastAsia" w:ascii="仿宋" w:hAnsi="仿宋" w:eastAsia="仿宋" w:cs="仿宋"/>
                <w:sz w:val="24"/>
                <w:szCs w:val="24"/>
                <w:vertAlign w:val="baseline"/>
              </w:rPr>
            </w:pPr>
            <w:r>
              <w:rPr>
                <w:rFonts w:ascii="宋体" w:hAnsi="宋体" w:eastAsia="宋体" w:cs="宋体"/>
                <w:spacing w:val="-4"/>
                <w:sz w:val="24"/>
                <w:szCs w:val="24"/>
              </w:rPr>
              <w:t>27</w:t>
            </w:r>
          </w:p>
        </w:tc>
        <w:tc>
          <w:tcPr>
            <w:tcW w:w="1920"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rightChars="0"/>
              <w:jc w:val="left"/>
              <w:textAlignment w:val="baseline"/>
              <w:rPr>
                <w:rFonts w:hint="eastAsia" w:ascii="仿宋" w:hAnsi="仿宋" w:eastAsia="仿宋" w:cs="仿宋"/>
                <w:sz w:val="24"/>
                <w:szCs w:val="24"/>
                <w:vertAlign w:val="baseline"/>
              </w:rPr>
            </w:pPr>
            <w:r>
              <w:rPr>
                <w:rFonts w:hint="eastAsia" w:ascii="仿宋" w:hAnsi="仿宋" w:eastAsia="仿宋" w:cs="仿宋"/>
                <w:sz w:val="24"/>
                <w:szCs w:val="24"/>
                <w:lang w:val="en-US" w:eastAsia="zh-CN"/>
              </w:rPr>
              <w:t>违反诚实信用原则</w:t>
            </w:r>
          </w:p>
        </w:tc>
        <w:tc>
          <w:tcPr>
            <w:tcW w:w="7425"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lang w:val="en-US" w:eastAsia="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1.发生合并、分立、破产等重大变化后不及时书面告知招标人。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2.资格预审合格后，投标人的项目管理机构组成出现调整不及时书面告知招标人。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3.不按评标委员会的要求对投标文件进行澄清、说明。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4.依法必须招标项目的境内投标单位，其投标保证金不是从其基本账户转出。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5.在开标前与招标人就投标价格、投标方案等进行协商谈判。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6.以低于成本的报价竞标。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7.向招标人或者评标委员会成员行贿的手段谋取中标。</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lang w:val="en-US" w:eastAsia="zh-CN"/>
              </w:rPr>
            </w:pPr>
          </w:p>
        </w:tc>
        <w:tc>
          <w:tcPr>
            <w:tcW w:w="3749"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《招标投标法》第三十二条，第三十三条，第四十三条</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《招标投标法实施条例》第二十六条，第三十八条，第五十二条</w:t>
            </w:r>
          </w:p>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rightChars="0" w:hanging="119" w:firstLineChars="0"/>
              <w:jc w:val="both"/>
              <w:textAlignment w:val="baseline"/>
              <w:rPr>
                <w:rFonts w:hint="eastAsia" w:ascii="仿宋" w:hAnsi="仿宋" w:eastAsia="仿宋" w:cs="仿宋"/>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noWrap w:val="0"/>
            <w:vAlign w:val="center"/>
          </w:tcPr>
          <w:p>
            <w:pPr>
              <w:widowControl w:val="0"/>
              <w:spacing w:before="117" w:line="221" w:lineRule="auto"/>
              <w:ind w:left="158" w:leftChars="0"/>
              <w:jc w:val="both"/>
              <w:rPr>
                <w:rFonts w:hint="eastAsia" w:ascii="仿宋" w:hAnsi="仿宋" w:eastAsia="仿宋" w:cs="仿宋"/>
                <w:sz w:val="32"/>
                <w:szCs w:val="32"/>
                <w:vertAlign w:val="baseline"/>
              </w:rPr>
            </w:pPr>
            <w:r>
              <w:rPr>
                <w:rFonts w:ascii="宋体" w:hAnsi="宋体" w:eastAsia="宋体" w:cs="宋体"/>
                <w:spacing w:val="-3"/>
                <w:sz w:val="24"/>
                <w:szCs w:val="24"/>
              </w:rPr>
              <w:t>序</w:t>
            </w:r>
            <w:r>
              <w:rPr>
                <w:rFonts w:ascii="宋体" w:hAnsi="宋体" w:eastAsia="宋体" w:cs="宋体"/>
                <w:spacing w:val="-2"/>
                <w:sz w:val="24"/>
                <w:szCs w:val="24"/>
              </w:rPr>
              <w:t>号</w:t>
            </w:r>
          </w:p>
        </w:tc>
        <w:tc>
          <w:tcPr>
            <w:tcW w:w="1920" w:type="dxa"/>
            <w:noWrap w:val="0"/>
            <w:vAlign w:val="center"/>
          </w:tcPr>
          <w:p>
            <w:pPr>
              <w:widowControl w:val="0"/>
              <w:spacing w:before="116" w:line="219" w:lineRule="auto"/>
              <w:ind w:left="354" w:leftChars="0"/>
              <w:jc w:val="both"/>
              <w:rPr>
                <w:rFonts w:hint="eastAsia" w:ascii="仿宋" w:hAnsi="仿宋" w:eastAsia="仿宋" w:cs="仿宋"/>
                <w:sz w:val="32"/>
                <w:szCs w:val="32"/>
                <w:vertAlign w:val="baseline"/>
              </w:rPr>
            </w:pPr>
            <w:r>
              <w:rPr>
                <w:rFonts w:ascii="宋体" w:hAnsi="宋体" w:eastAsia="宋体" w:cs="宋体"/>
                <w:spacing w:val="-2"/>
                <w:sz w:val="24"/>
                <w:szCs w:val="24"/>
              </w:rPr>
              <w:t>禁止事项</w:t>
            </w:r>
          </w:p>
        </w:tc>
        <w:tc>
          <w:tcPr>
            <w:tcW w:w="7425" w:type="dxa"/>
            <w:noWrap w:val="0"/>
            <w:vAlign w:val="center"/>
          </w:tcPr>
          <w:p>
            <w:pPr>
              <w:widowControl w:val="0"/>
              <w:spacing w:before="116" w:line="219" w:lineRule="auto"/>
              <w:ind w:left="2845" w:leftChars="0"/>
              <w:jc w:val="both"/>
              <w:rPr>
                <w:rFonts w:hint="eastAsia" w:ascii="仿宋" w:hAnsi="仿宋" w:eastAsia="仿宋" w:cs="仿宋"/>
                <w:sz w:val="32"/>
                <w:szCs w:val="32"/>
                <w:vertAlign w:val="baseline"/>
              </w:rPr>
            </w:pPr>
            <w:r>
              <w:rPr>
                <w:rFonts w:ascii="宋体" w:hAnsi="宋体" w:eastAsia="宋体" w:cs="宋体"/>
                <w:spacing w:val="12"/>
                <w:sz w:val="24"/>
                <w:szCs w:val="24"/>
              </w:rPr>
              <w:t>具</w:t>
            </w:r>
            <w:r>
              <w:rPr>
                <w:rFonts w:ascii="宋体" w:hAnsi="宋体" w:eastAsia="宋体" w:cs="宋体"/>
                <w:spacing w:val="11"/>
                <w:sz w:val="24"/>
                <w:szCs w:val="24"/>
              </w:rPr>
              <w:t>体内容</w:t>
            </w:r>
          </w:p>
        </w:tc>
        <w:tc>
          <w:tcPr>
            <w:tcW w:w="3749" w:type="dxa"/>
            <w:noWrap w:val="0"/>
            <w:vAlign w:val="center"/>
          </w:tcPr>
          <w:p>
            <w:pPr>
              <w:widowControl w:val="0"/>
              <w:spacing w:before="114" w:line="219" w:lineRule="auto"/>
              <w:ind w:left="420" w:leftChars="0"/>
              <w:jc w:val="both"/>
              <w:rPr>
                <w:rFonts w:hint="eastAsia" w:ascii="仿宋" w:hAnsi="仿宋" w:eastAsia="仿宋" w:cs="仿宋"/>
                <w:sz w:val="32"/>
                <w:szCs w:val="32"/>
                <w:vertAlign w:val="baseline"/>
              </w:rPr>
            </w:pPr>
            <w:r>
              <w:rPr>
                <w:rFonts w:ascii="宋体" w:hAnsi="宋体" w:eastAsia="宋体" w:cs="宋体"/>
                <w:spacing w:val="-1"/>
                <w:sz w:val="24"/>
                <w:szCs w:val="24"/>
              </w:rPr>
              <w:t>相关法律、法规和其</w:t>
            </w:r>
            <w:r>
              <w:rPr>
                <w:rFonts w:ascii="宋体" w:hAnsi="宋体" w:eastAsia="宋体" w:cs="宋体"/>
                <w:sz w:val="24"/>
                <w:szCs w:val="24"/>
              </w:rPr>
              <w:t>他依据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atLeast"/>
        </w:trPr>
        <w:tc>
          <w:tcPr>
            <w:tcW w:w="975"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jc w:val="center"/>
              <w:textAlignment w:val="baseline"/>
              <w:rPr>
                <w:rFonts w:hint="eastAsia" w:ascii="仿宋" w:hAnsi="仿宋" w:eastAsia="仿宋" w:cs="仿宋"/>
                <w:sz w:val="24"/>
                <w:szCs w:val="24"/>
                <w:vertAlign w:val="baseline"/>
              </w:rPr>
            </w:pPr>
            <w:r>
              <w:rPr>
                <w:rFonts w:ascii="宋体" w:hAnsi="宋体" w:eastAsia="宋体" w:cs="宋体"/>
                <w:spacing w:val="-4"/>
                <w:sz w:val="24"/>
                <w:szCs w:val="24"/>
              </w:rPr>
              <w:t>2</w:t>
            </w:r>
            <w:r>
              <w:rPr>
                <w:rFonts w:ascii="宋体" w:hAnsi="宋体" w:eastAsia="宋体" w:cs="宋体"/>
                <w:spacing w:val="-3"/>
                <w:sz w:val="24"/>
                <w:szCs w:val="24"/>
              </w:rPr>
              <w:t>8</w:t>
            </w:r>
          </w:p>
        </w:tc>
        <w:tc>
          <w:tcPr>
            <w:tcW w:w="1920"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rightChars="0"/>
              <w:jc w:val="left"/>
              <w:textAlignment w:val="baseline"/>
              <w:rPr>
                <w:rFonts w:hint="eastAsia" w:ascii="仿宋" w:hAnsi="仿宋" w:eastAsia="仿宋" w:cs="仿宋"/>
                <w:sz w:val="24"/>
                <w:szCs w:val="24"/>
                <w:vertAlign w:val="baseline"/>
              </w:rPr>
            </w:pPr>
            <w:r>
              <w:rPr>
                <w:rFonts w:hint="eastAsia" w:ascii="仿宋" w:hAnsi="仿宋" w:eastAsia="仿宋" w:cs="仿宋"/>
                <w:sz w:val="24"/>
                <w:szCs w:val="24"/>
                <w:lang w:val="en-US" w:eastAsia="zh-CN"/>
              </w:rPr>
              <w:t>不配合行政监督部门依法实施的监督检查</w:t>
            </w:r>
          </w:p>
        </w:tc>
        <w:tc>
          <w:tcPr>
            <w:tcW w:w="7425"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1.不配合投诉调查处理或者案件查办。</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lang w:val="en-US" w:eastAsia="zh-CN"/>
              </w:rPr>
              <w:t>2.在有关部门处理投诉、查办案件调查有关情况时，提供虚假情况或者作伪证。</w:t>
            </w:r>
          </w:p>
        </w:tc>
        <w:tc>
          <w:tcPr>
            <w:tcW w:w="3749"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《招标投标法实施条例》第六十二条</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lang w:val="en-US" w:eastAsia="zh-CN"/>
              </w:rPr>
              <w:t>《工程建设项目招标投标活动投诉处理办法》第二十六条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69" w:type="dxa"/>
            <w:gridSpan w:val="4"/>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firstLine="5658" w:firstLineChars="2300"/>
              <w:jc w:val="both"/>
              <w:textAlignment w:val="baseline"/>
              <w:rPr>
                <w:rFonts w:hint="eastAsia" w:ascii="仿宋" w:hAnsi="仿宋" w:eastAsia="仿宋" w:cs="仿宋"/>
                <w:sz w:val="32"/>
                <w:szCs w:val="32"/>
                <w:vertAlign w:val="baseline"/>
              </w:rPr>
            </w:pPr>
            <w:r>
              <w:rPr>
                <w:rFonts w:ascii="宋体" w:hAnsi="宋体" w:eastAsia="宋体" w:cs="宋体"/>
                <w:spacing w:val="3"/>
                <w:sz w:val="24"/>
                <w:szCs w:val="24"/>
              </w:rPr>
              <w:t>三、评标委员会成</w:t>
            </w:r>
            <w:r>
              <w:rPr>
                <w:rFonts w:ascii="宋体" w:hAnsi="宋体" w:eastAsia="宋体" w:cs="宋体"/>
                <w:spacing w:val="2"/>
                <w:sz w:val="24"/>
                <w:szCs w:val="24"/>
              </w:rPr>
              <w:t>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0" w:hRule="atLeast"/>
        </w:trPr>
        <w:tc>
          <w:tcPr>
            <w:tcW w:w="975"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right="0"/>
              <w:jc w:val="center"/>
              <w:textAlignment w:val="baseline"/>
              <w:rPr>
                <w:rFonts w:hint="eastAsia" w:ascii="仿宋" w:hAnsi="仿宋" w:eastAsia="仿宋" w:cs="仿宋"/>
                <w:sz w:val="24"/>
                <w:szCs w:val="24"/>
                <w:vertAlign w:val="baseline"/>
              </w:rPr>
            </w:pPr>
            <w:r>
              <w:rPr>
                <w:rFonts w:ascii="宋体" w:hAnsi="宋体" w:eastAsia="宋体" w:cs="宋体"/>
                <w:spacing w:val="-4"/>
                <w:sz w:val="24"/>
                <w:szCs w:val="24"/>
              </w:rPr>
              <w:t>2</w:t>
            </w:r>
            <w:r>
              <w:rPr>
                <w:rFonts w:ascii="宋体" w:hAnsi="宋体" w:eastAsia="宋体" w:cs="宋体"/>
                <w:spacing w:val="-3"/>
                <w:sz w:val="24"/>
                <w:szCs w:val="24"/>
              </w:rPr>
              <w:t>9</w:t>
            </w:r>
          </w:p>
        </w:tc>
        <w:tc>
          <w:tcPr>
            <w:tcW w:w="1920"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rightChars="0" w:firstLine="29" w:firstLineChars="0"/>
              <w:jc w:val="left"/>
              <w:textAlignment w:val="baseline"/>
              <w:rPr>
                <w:rFonts w:hint="eastAsia" w:ascii="仿宋" w:hAnsi="仿宋" w:eastAsia="仿宋" w:cs="仿宋"/>
                <w:sz w:val="24"/>
                <w:szCs w:val="24"/>
                <w:vertAlign w:val="baseline"/>
              </w:rPr>
            </w:pPr>
            <w:r>
              <w:rPr>
                <w:rFonts w:hint="eastAsia" w:ascii="仿宋" w:hAnsi="仿宋" w:eastAsia="仿宋" w:cs="仿宋"/>
                <w:sz w:val="24"/>
                <w:szCs w:val="24"/>
                <w:lang w:val="en-US" w:eastAsia="zh-CN"/>
              </w:rPr>
              <w:t>应主动回避未回避</w:t>
            </w:r>
          </w:p>
        </w:tc>
        <w:tc>
          <w:tcPr>
            <w:tcW w:w="7425"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1.与投标人(资格预审申请人)存在利害关系应当回避而不回避。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2.投标人或者投标人主要负责人的近亲属担任评标委员会成员。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3.项目主管部门或者行政监督部门的人员担任评标委员会成员。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lang w:val="en-US" w:eastAsia="zh-CN"/>
              </w:rPr>
              <w:t>4.曾因在招标、评标以及其他与招标投标有关活动中从事违法行为而受过行政处罚或刑事处罚的人员担任评标委员会成员。</w:t>
            </w:r>
          </w:p>
        </w:tc>
        <w:tc>
          <w:tcPr>
            <w:tcW w:w="3749"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《招标投标法》第三十七条</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《招标投标法实施条例》第四十六条</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lang w:val="en-US" w:eastAsia="zh-CN"/>
              </w:rPr>
              <w:t>《评标委员会和评标方法暂行规定》第十二条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0" w:hRule="atLeast"/>
        </w:trPr>
        <w:tc>
          <w:tcPr>
            <w:tcW w:w="975"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jc w:val="center"/>
              <w:textAlignment w:val="baseline"/>
              <w:rPr>
                <w:rFonts w:hint="eastAsia" w:ascii="仿宋" w:hAnsi="仿宋" w:eastAsia="仿宋" w:cs="仿宋"/>
                <w:sz w:val="24"/>
                <w:szCs w:val="24"/>
                <w:vertAlign w:val="baseline"/>
              </w:rPr>
            </w:pPr>
            <w:r>
              <w:rPr>
                <w:rFonts w:ascii="宋体" w:hAnsi="宋体" w:eastAsia="宋体" w:cs="宋体"/>
                <w:spacing w:val="-5"/>
                <w:sz w:val="24"/>
                <w:szCs w:val="24"/>
              </w:rPr>
              <w:t>3</w:t>
            </w:r>
            <w:r>
              <w:rPr>
                <w:rFonts w:ascii="宋体" w:hAnsi="宋体" w:eastAsia="宋体" w:cs="宋体"/>
                <w:spacing w:val="-3"/>
                <w:sz w:val="24"/>
                <w:szCs w:val="24"/>
              </w:rPr>
              <w:t>0</w:t>
            </w:r>
          </w:p>
        </w:tc>
        <w:tc>
          <w:tcPr>
            <w:tcW w:w="1920"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rightChars="0" w:firstLine="29" w:firstLineChars="0"/>
              <w:jc w:val="left"/>
              <w:textAlignment w:val="baseline"/>
              <w:rPr>
                <w:rFonts w:hint="eastAsia" w:ascii="仿宋" w:hAnsi="仿宋" w:eastAsia="仿宋" w:cs="仿宋"/>
                <w:sz w:val="24"/>
                <w:szCs w:val="24"/>
                <w:vertAlign w:val="baseline"/>
              </w:rPr>
            </w:pPr>
            <w:r>
              <w:rPr>
                <w:rFonts w:hint="eastAsia" w:ascii="仿宋" w:hAnsi="仿宋" w:eastAsia="仿宋" w:cs="仿宋"/>
                <w:sz w:val="24"/>
                <w:szCs w:val="24"/>
                <w:lang w:val="en-US" w:eastAsia="zh-CN"/>
              </w:rPr>
              <w:t>干扰或影响评标工作正常进行</w:t>
            </w:r>
          </w:p>
        </w:tc>
        <w:tc>
          <w:tcPr>
            <w:tcW w:w="7425"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1.在评标(评审)过程中擅离职守影响评标(评审)程序正常进行。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2.拒绝在评审委员会的评审结论上签字，且不以书面形式说明不同意见和理由。</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lang w:val="en-US" w:eastAsia="zh-CN"/>
              </w:rPr>
              <w:t>3.索要超额专家劳务费或要求不当消费。</w:t>
            </w:r>
          </w:p>
        </w:tc>
        <w:tc>
          <w:tcPr>
            <w:tcW w:w="3749"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《招标投标法实施条例》第五十三条，第七十一条</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lang w:val="en-US" w:eastAsia="zh-CN"/>
              </w:rPr>
              <w:t>《湖北省评标(评审)专家及专家库管理办法》第十八条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975" w:type="dxa"/>
            <w:noWrap w:val="0"/>
            <w:vAlign w:val="center"/>
          </w:tcPr>
          <w:p>
            <w:pPr>
              <w:widowControl w:val="0"/>
              <w:spacing w:before="117" w:line="221" w:lineRule="auto"/>
              <w:ind w:left="158" w:leftChars="0"/>
              <w:jc w:val="both"/>
              <w:rPr>
                <w:rFonts w:hint="eastAsia" w:ascii="仿宋" w:hAnsi="仿宋" w:eastAsia="仿宋" w:cs="仿宋"/>
                <w:sz w:val="24"/>
                <w:szCs w:val="24"/>
                <w:vertAlign w:val="baseline"/>
              </w:rPr>
            </w:pPr>
            <w:r>
              <w:rPr>
                <w:rFonts w:ascii="宋体" w:hAnsi="宋体" w:eastAsia="宋体" w:cs="宋体"/>
                <w:spacing w:val="-3"/>
                <w:sz w:val="24"/>
                <w:szCs w:val="24"/>
              </w:rPr>
              <w:t>序</w:t>
            </w:r>
            <w:r>
              <w:rPr>
                <w:rFonts w:ascii="宋体" w:hAnsi="宋体" w:eastAsia="宋体" w:cs="宋体"/>
                <w:spacing w:val="-2"/>
                <w:sz w:val="24"/>
                <w:szCs w:val="24"/>
              </w:rPr>
              <w:t>号</w:t>
            </w:r>
          </w:p>
        </w:tc>
        <w:tc>
          <w:tcPr>
            <w:tcW w:w="1920" w:type="dxa"/>
            <w:noWrap w:val="0"/>
            <w:vAlign w:val="center"/>
          </w:tcPr>
          <w:p>
            <w:pPr>
              <w:widowControl w:val="0"/>
              <w:spacing w:before="116" w:line="219" w:lineRule="auto"/>
              <w:ind w:left="354" w:leftChars="0"/>
              <w:jc w:val="both"/>
              <w:rPr>
                <w:rFonts w:hint="eastAsia" w:ascii="仿宋" w:hAnsi="仿宋" w:eastAsia="仿宋" w:cs="仿宋"/>
                <w:sz w:val="24"/>
                <w:szCs w:val="24"/>
                <w:vertAlign w:val="baseline"/>
              </w:rPr>
            </w:pPr>
            <w:r>
              <w:rPr>
                <w:rFonts w:ascii="宋体" w:hAnsi="宋体" w:eastAsia="宋体" w:cs="宋体"/>
                <w:spacing w:val="-2"/>
                <w:sz w:val="24"/>
                <w:szCs w:val="24"/>
              </w:rPr>
              <w:t>禁止事项</w:t>
            </w:r>
          </w:p>
        </w:tc>
        <w:tc>
          <w:tcPr>
            <w:tcW w:w="7425" w:type="dxa"/>
            <w:noWrap w:val="0"/>
            <w:vAlign w:val="center"/>
          </w:tcPr>
          <w:p>
            <w:pPr>
              <w:widowControl w:val="0"/>
              <w:spacing w:before="116" w:line="219" w:lineRule="auto"/>
              <w:ind w:left="2845" w:leftChars="0"/>
              <w:jc w:val="both"/>
              <w:rPr>
                <w:rFonts w:hint="eastAsia" w:ascii="仿宋" w:hAnsi="仿宋" w:eastAsia="仿宋" w:cs="仿宋"/>
                <w:sz w:val="24"/>
                <w:szCs w:val="24"/>
                <w:vertAlign w:val="baseline"/>
              </w:rPr>
            </w:pPr>
            <w:r>
              <w:rPr>
                <w:rFonts w:ascii="宋体" w:hAnsi="宋体" w:eastAsia="宋体" w:cs="宋体"/>
                <w:spacing w:val="12"/>
                <w:sz w:val="24"/>
                <w:szCs w:val="24"/>
              </w:rPr>
              <w:t>具</w:t>
            </w:r>
            <w:r>
              <w:rPr>
                <w:rFonts w:ascii="宋体" w:hAnsi="宋体" w:eastAsia="宋体" w:cs="宋体"/>
                <w:spacing w:val="11"/>
                <w:sz w:val="24"/>
                <w:szCs w:val="24"/>
              </w:rPr>
              <w:t>体内容</w:t>
            </w:r>
          </w:p>
        </w:tc>
        <w:tc>
          <w:tcPr>
            <w:tcW w:w="3749" w:type="dxa"/>
            <w:noWrap w:val="0"/>
            <w:vAlign w:val="center"/>
          </w:tcPr>
          <w:p>
            <w:pPr>
              <w:widowControl w:val="0"/>
              <w:spacing w:before="114" w:line="219" w:lineRule="auto"/>
              <w:ind w:left="420" w:leftChars="0"/>
              <w:jc w:val="both"/>
              <w:rPr>
                <w:rFonts w:hint="eastAsia" w:ascii="仿宋" w:hAnsi="仿宋" w:eastAsia="仿宋" w:cs="仿宋"/>
                <w:sz w:val="24"/>
                <w:szCs w:val="24"/>
                <w:vertAlign w:val="baseline"/>
              </w:rPr>
            </w:pPr>
            <w:r>
              <w:rPr>
                <w:rFonts w:ascii="宋体" w:hAnsi="宋体" w:eastAsia="宋体" w:cs="宋体"/>
                <w:spacing w:val="-1"/>
                <w:sz w:val="24"/>
                <w:szCs w:val="24"/>
              </w:rPr>
              <w:t>相关法律、法规和其</w:t>
            </w:r>
            <w:r>
              <w:rPr>
                <w:rFonts w:ascii="宋体" w:hAnsi="宋体" w:eastAsia="宋体" w:cs="宋体"/>
                <w:sz w:val="24"/>
                <w:szCs w:val="24"/>
              </w:rPr>
              <w:t>他依据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jc w:val="center"/>
              <w:textAlignment w:val="baseline"/>
              <w:rPr>
                <w:rFonts w:hint="eastAsia" w:ascii="仿宋" w:hAnsi="仿宋" w:eastAsia="仿宋" w:cs="仿宋"/>
                <w:sz w:val="24"/>
                <w:szCs w:val="24"/>
                <w:vertAlign w:val="baseline"/>
              </w:rPr>
            </w:pPr>
            <w:r>
              <w:rPr>
                <w:rFonts w:ascii="宋体" w:hAnsi="宋体" w:eastAsia="宋体" w:cs="宋体"/>
                <w:spacing w:val="-5"/>
                <w:sz w:val="24"/>
                <w:szCs w:val="24"/>
              </w:rPr>
              <w:t>3</w:t>
            </w:r>
            <w:r>
              <w:rPr>
                <w:rFonts w:ascii="宋体" w:hAnsi="宋体" w:eastAsia="宋体" w:cs="宋体"/>
                <w:spacing w:val="-3"/>
                <w:sz w:val="24"/>
                <w:szCs w:val="24"/>
              </w:rPr>
              <w:t>1</w:t>
            </w:r>
          </w:p>
        </w:tc>
        <w:tc>
          <w:tcPr>
            <w:tcW w:w="1920"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right="0"/>
              <w:jc w:val="left"/>
              <w:textAlignment w:val="baseline"/>
              <w:rPr>
                <w:rFonts w:hint="eastAsia" w:ascii="仿宋" w:hAnsi="仿宋" w:eastAsia="仿宋" w:cs="仿宋"/>
                <w:sz w:val="24"/>
                <w:szCs w:val="24"/>
                <w:vertAlign w:val="baseline"/>
              </w:rPr>
            </w:pPr>
            <w:r>
              <w:rPr>
                <w:rFonts w:hint="eastAsia" w:ascii="仿宋" w:hAnsi="仿宋" w:eastAsia="仿宋" w:cs="仿宋"/>
                <w:sz w:val="24"/>
                <w:szCs w:val="24"/>
                <w:lang w:val="en-US" w:eastAsia="zh-CN"/>
              </w:rPr>
              <w:t>不按规定审查、评审，不客观、不公正履职</w:t>
            </w:r>
          </w:p>
        </w:tc>
        <w:tc>
          <w:tcPr>
            <w:tcW w:w="7425"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left"/>
              <w:textAlignment w:val="baseline"/>
              <w:rPr>
                <w:rFonts w:hint="eastAsia" w:ascii="宋体" w:hAnsi="宋体" w:eastAsia="宋体" w:cs="宋体"/>
                <w:spacing w:val="8"/>
                <w:sz w:val="24"/>
                <w:szCs w:val="24"/>
                <w:lang w:val="en-US" w:eastAsia="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1.不按照招标文件规定的评标标准和方法评标。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2.私下接触投标人。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3.向招标人征询确定中标人的意向或者接受任何单位或者个人明示或者暗示提出的倾向或者排斥特定投标人的要求。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4.透露对投标文件的评审和比较、中标候选人的推荐情况以及与评标有关的其他情况。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5.对依法应当否决的投标不提出否决意见。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6.暗示或者诱导投标人作出澄清、说明或者接受投标人主动提出的澄清、说明。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7.收受投标人、中介人、其他利害关系人的财物或者其他好处。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8.有玩忽职守等渎职行为。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9.其他不客观、不公正履行职务的行为。</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宋体" w:hAnsi="宋体" w:eastAsia="宋体" w:cs="宋体"/>
                <w:spacing w:val="8"/>
                <w:sz w:val="24"/>
                <w:szCs w:val="24"/>
              </w:rPr>
            </w:pPr>
          </w:p>
        </w:tc>
        <w:tc>
          <w:tcPr>
            <w:tcW w:w="3749"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《招标投标法》第四十条，第四十四条</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《招标投标法实施条例》第四十九条，第五十二条，第七十一条，第七十二条</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《评标委员会和评标方法暂行规定》第十三条，第十四条</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宋体" w:hAnsi="宋体" w:eastAsia="宋体" w:cs="宋体"/>
                <w:sz w:val="24"/>
                <w:szCs w:val="24"/>
              </w:rPr>
            </w:pPr>
            <w:r>
              <w:rPr>
                <w:rFonts w:hint="eastAsia" w:ascii="仿宋" w:hAnsi="仿宋" w:eastAsia="仿宋" w:cs="仿宋"/>
                <w:sz w:val="24"/>
                <w:szCs w:val="24"/>
                <w:lang w:val="en-US" w:eastAsia="zh-CN"/>
              </w:rPr>
              <w:t>《湖北省评标(评审)专家及专家库管理办法》第十八条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0" w:hRule="atLeast"/>
        </w:trPr>
        <w:tc>
          <w:tcPr>
            <w:tcW w:w="975"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jc w:val="center"/>
              <w:textAlignment w:val="baseline"/>
              <w:rPr>
                <w:rFonts w:hint="eastAsia" w:ascii="宋体" w:hAnsi="宋体" w:eastAsia="宋体" w:cs="宋体"/>
                <w:spacing w:val="10"/>
                <w:sz w:val="24"/>
                <w:szCs w:val="24"/>
              </w:rPr>
            </w:pPr>
            <w:r>
              <w:rPr>
                <w:rFonts w:ascii="宋体" w:hAnsi="宋体" w:eastAsia="宋体" w:cs="宋体"/>
                <w:spacing w:val="10"/>
                <w:sz w:val="24"/>
                <w:szCs w:val="24"/>
              </w:rPr>
              <w:t>32</w:t>
            </w:r>
          </w:p>
        </w:tc>
        <w:tc>
          <w:tcPr>
            <w:tcW w:w="1920"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jc w:val="left"/>
              <w:textAlignment w:val="baseline"/>
              <w:rPr>
                <w:rFonts w:hint="eastAsia" w:ascii="宋体" w:hAnsi="宋体" w:eastAsia="宋体" w:cs="宋体"/>
                <w:spacing w:val="10"/>
                <w:sz w:val="24"/>
                <w:szCs w:val="24"/>
              </w:rPr>
            </w:pPr>
            <w:r>
              <w:rPr>
                <w:rFonts w:hint="eastAsia" w:ascii="仿宋" w:hAnsi="仿宋" w:eastAsia="仿宋" w:cs="仿宋"/>
                <w:sz w:val="24"/>
                <w:szCs w:val="24"/>
                <w:lang w:val="en-US" w:eastAsia="zh-CN"/>
              </w:rPr>
              <w:t>不配合行政监督部门依法实施的监督检查</w:t>
            </w:r>
          </w:p>
        </w:tc>
        <w:tc>
          <w:tcPr>
            <w:tcW w:w="7425"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left"/>
              <w:textAlignment w:val="baseline"/>
              <w:rPr>
                <w:rFonts w:hint="eastAsia" w:ascii="宋体" w:hAnsi="宋体" w:eastAsia="宋体" w:cs="宋体"/>
                <w:spacing w:val="10"/>
                <w:sz w:val="24"/>
                <w:szCs w:val="24"/>
                <w:lang w:val="en-US" w:eastAsia="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1.不配合行政监督部门依法实施的监督、检查。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2.不配合投诉调查处理或者案件查办。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3.在有关部门处理投诉、查办案件调查有关情况时，提供虚假情况或者作伪证。</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left"/>
              <w:textAlignment w:val="baseline"/>
              <w:rPr>
                <w:rFonts w:hint="eastAsia" w:ascii="宋体" w:hAnsi="宋体" w:eastAsia="宋体" w:cs="宋体"/>
                <w:spacing w:val="10"/>
                <w:sz w:val="24"/>
                <w:szCs w:val="24"/>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left"/>
              <w:textAlignment w:val="baseline"/>
              <w:rPr>
                <w:rFonts w:hint="eastAsia" w:ascii="宋体" w:hAnsi="宋体" w:eastAsia="宋体" w:cs="宋体"/>
                <w:spacing w:val="10"/>
                <w:sz w:val="24"/>
                <w:szCs w:val="24"/>
              </w:rPr>
            </w:pPr>
          </w:p>
        </w:tc>
        <w:tc>
          <w:tcPr>
            <w:tcW w:w="3749"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《招标投标法实施条例》第六十二条</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《评标专家和评标专家库管理暂行办法》第十四条</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宋体" w:hAnsi="宋体" w:eastAsia="宋体" w:cs="宋体"/>
                <w:sz w:val="24"/>
                <w:szCs w:val="24"/>
              </w:rPr>
            </w:pPr>
            <w:r>
              <w:rPr>
                <w:rFonts w:hint="eastAsia" w:ascii="仿宋" w:hAnsi="仿宋" w:eastAsia="仿宋" w:cs="仿宋"/>
                <w:sz w:val="24"/>
                <w:szCs w:val="24"/>
                <w:lang w:val="en-US" w:eastAsia="zh-CN"/>
              </w:rPr>
              <w:t>《湖北省评标(评审)专家及专家库管理办法》第十八条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noWrap w:val="0"/>
            <w:vAlign w:val="center"/>
          </w:tcPr>
          <w:p>
            <w:pPr>
              <w:widowControl w:val="0"/>
              <w:spacing w:before="117" w:line="221" w:lineRule="auto"/>
              <w:ind w:left="108" w:leftChars="0"/>
              <w:jc w:val="both"/>
              <w:rPr>
                <w:rFonts w:hint="eastAsia" w:ascii="仿宋" w:hAnsi="仿宋" w:eastAsia="仿宋" w:cs="仿宋"/>
                <w:sz w:val="32"/>
                <w:szCs w:val="32"/>
                <w:vertAlign w:val="baseline"/>
              </w:rPr>
            </w:pPr>
            <w:r>
              <w:rPr>
                <w:rFonts w:ascii="宋体" w:hAnsi="宋体" w:eastAsia="宋体" w:cs="宋体"/>
                <w:spacing w:val="-3"/>
                <w:sz w:val="24"/>
                <w:szCs w:val="24"/>
              </w:rPr>
              <w:t>序</w:t>
            </w:r>
            <w:r>
              <w:rPr>
                <w:rFonts w:ascii="宋体" w:hAnsi="宋体" w:eastAsia="宋体" w:cs="宋体"/>
                <w:spacing w:val="-2"/>
                <w:sz w:val="24"/>
                <w:szCs w:val="24"/>
              </w:rPr>
              <w:t>号</w:t>
            </w:r>
          </w:p>
        </w:tc>
        <w:tc>
          <w:tcPr>
            <w:tcW w:w="1920" w:type="dxa"/>
            <w:noWrap w:val="0"/>
            <w:vAlign w:val="center"/>
          </w:tcPr>
          <w:p>
            <w:pPr>
              <w:widowControl w:val="0"/>
              <w:spacing w:before="116" w:line="219" w:lineRule="auto"/>
              <w:ind w:left="334" w:leftChars="0"/>
              <w:jc w:val="both"/>
              <w:rPr>
                <w:rFonts w:hint="eastAsia" w:ascii="仿宋" w:hAnsi="仿宋" w:eastAsia="仿宋" w:cs="仿宋"/>
                <w:sz w:val="32"/>
                <w:szCs w:val="32"/>
                <w:vertAlign w:val="baseline"/>
              </w:rPr>
            </w:pPr>
            <w:r>
              <w:rPr>
                <w:rFonts w:ascii="宋体" w:hAnsi="宋体" w:eastAsia="宋体" w:cs="宋体"/>
                <w:spacing w:val="-2"/>
                <w:sz w:val="24"/>
                <w:szCs w:val="24"/>
              </w:rPr>
              <w:t>禁止事项</w:t>
            </w:r>
          </w:p>
        </w:tc>
        <w:tc>
          <w:tcPr>
            <w:tcW w:w="7425" w:type="dxa"/>
            <w:noWrap w:val="0"/>
            <w:vAlign w:val="center"/>
          </w:tcPr>
          <w:p>
            <w:pPr>
              <w:widowControl w:val="0"/>
              <w:spacing w:before="116" w:line="219" w:lineRule="auto"/>
              <w:ind w:left="2845" w:leftChars="0"/>
              <w:jc w:val="both"/>
              <w:rPr>
                <w:rFonts w:hint="eastAsia" w:ascii="仿宋" w:hAnsi="仿宋" w:eastAsia="仿宋" w:cs="仿宋"/>
                <w:sz w:val="32"/>
                <w:szCs w:val="32"/>
                <w:vertAlign w:val="baseline"/>
              </w:rPr>
            </w:pPr>
            <w:r>
              <w:rPr>
                <w:rFonts w:ascii="宋体" w:hAnsi="宋体" w:eastAsia="宋体" w:cs="宋体"/>
                <w:spacing w:val="12"/>
                <w:sz w:val="24"/>
                <w:szCs w:val="24"/>
              </w:rPr>
              <w:t>具</w:t>
            </w:r>
            <w:r>
              <w:rPr>
                <w:rFonts w:ascii="宋体" w:hAnsi="宋体" w:eastAsia="宋体" w:cs="宋体"/>
                <w:spacing w:val="11"/>
                <w:sz w:val="24"/>
                <w:szCs w:val="24"/>
              </w:rPr>
              <w:t>体内容</w:t>
            </w:r>
          </w:p>
        </w:tc>
        <w:tc>
          <w:tcPr>
            <w:tcW w:w="3749" w:type="dxa"/>
            <w:noWrap w:val="0"/>
            <w:vAlign w:val="center"/>
          </w:tcPr>
          <w:p>
            <w:pPr>
              <w:widowControl w:val="0"/>
              <w:spacing w:before="114" w:line="219" w:lineRule="auto"/>
              <w:ind w:left="400" w:leftChars="0"/>
              <w:jc w:val="both"/>
              <w:rPr>
                <w:rFonts w:hint="eastAsia" w:ascii="仿宋" w:hAnsi="仿宋" w:eastAsia="仿宋" w:cs="仿宋"/>
                <w:sz w:val="32"/>
                <w:szCs w:val="32"/>
                <w:vertAlign w:val="baseline"/>
              </w:rPr>
            </w:pPr>
            <w:r>
              <w:rPr>
                <w:rFonts w:ascii="宋体" w:hAnsi="宋体" w:eastAsia="宋体" w:cs="宋体"/>
                <w:spacing w:val="-1"/>
                <w:sz w:val="24"/>
                <w:szCs w:val="24"/>
              </w:rPr>
              <w:t>相关法律、法规和其</w:t>
            </w:r>
            <w:r>
              <w:rPr>
                <w:rFonts w:ascii="宋体" w:hAnsi="宋体" w:eastAsia="宋体" w:cs="宋体"/>
                <w:sz w:val="24"/>
                <w:szCs w:val="24"/>
              </w:rPr>
              <w:t>他依据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69" w:type="dxa"/>
            <w:gridSpan w:val="4"/>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firstLine="5566" w:firstLineChars="2300"/>
              <w:jc w:val="both"/>
              <w:textAlignment w:val="baseline"/>
              <w:rPr>
                <w:rFonts w:hint="eastAsia" w:ascii="仿宋" w:hAnsi="仿宋" w:eastAsia="仿宋" w:cs="仿宋"/>
                <w:sz w:val="32"/>
                <w:szCs w:val="32"/>
                <w:vertAlign w:val="baseline"/>
              </w:rPr>
            </w:pPr>
            <w:r>
              <w:rPr>
                <w:rFonts w:ascii="宋体" w:hAnsi="宋体" w:eastAsia="宋体" w:cs="宋体"/>
                <w:spacing w:val="1"/>
                <w:sz w:val="24"/>
                <w:szCs w:val="24"/>
              </w:rPr>
              <w:t>四、平台服务机构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jc w:val="center"/>
              <w:textAlignment w:val="baseline"/>
              <w:rPr>
                <w:rFonts w:hint="eastAsia" w:ascii="仿宋" w:hAnsi="仿宋" w:eastAsia="仿宋" w:cs="仿宋"/>
                <w:sz w:val="21"/>
                <w:szCs w:val="21"/>
                <w:vertAlign w:val="baseline"/>
              </w:rPr>
            </w:pPr>
            <w:r>
              <w:rPr>
                <w:rFonts w:ascii="宋体" w:hAnsi="宋体" w:eastAsia="宋体" w:cs="宋体"/>
                <w:spacing w:val="-5"/>
                <w:sz w:val="21"/>
                <w:szCs w:val="21"/>
              </w:rPr>
              <w:t>3</w:t>
            </w:r>
            <w:r>
              <w:rPr>
                <w:rFonts w:ascii="宋体" w:hAnsi="宋体" w:eastAsia="宋体" w:cs="宋体"/>
                <w:spacing w:val="-3"/>
                <w:sz w:val="21"/>
                <w:szCs w:val="21"/>
              </w:rPr>
              <w:t>3</w:t>
            </w:r>
          </w:p>
        </w:tc>
        <w:tc>
          <w:tcPr>
            <w:tcW w:w="1920"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jc w:val="both"/>
              <w:textAlignment w:val="baseline"/>
              <w:rPr>
                <w:rFonts w:hint="eastAsia" w:ascii="仿宋" w:hAnsi="仿宋" w:eastAsia="仿宋" w:cs="仿宋"/>
                <w:sz w:val="21"/>
                <w:szCs w:val="21"/>
                <w:vertAlign w:val="baseline"/>
              </w:rPr>
            </w:pPr>
            <w:r>
              <w:rPr>
                <w:rFonts w:hint="eastAsia" w:ascii="仿宋" w:hAnsi="仿宋" w:eastAsia="仿宋" w:cs="仿宋"/>
                <w:sz w:val="24"/>
                <w:szCs w:val="24"/>
                <w:lang w:val="en-US" w:eastAsia="zh-CN"/>
              </w:rPr>
              <w:t>设置交易障碍</w:t>
            </w:r>
          </w:p>
        </w:tc>
        <w:tc>
          <w:tcPr>
            <w:tcW w:w="7425"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1.干涉市场主体选择依法建设和运行的公共资源电子交易系统。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2.通过设置注册登记、设立分支机构、资质验证、投标(竞买)许可、强制担保等限制性条件阻碍或者排斥其他地区市场主体进入本地区公共资源交易市场。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3.违法要求企业法定代表人到场办理相关手续。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4.强制要求市场主体重复登记、备案和验证。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5.非法扣押企业和人员的相关证照资料。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lang w:val="en-US" w:eastAsia="zh-CN"/>
              </w:rPr>
              <w:t>6.限制交易主体自主权。</w:t>
            </w:r>
          </w:p>
        </w:tc>
        <w:tc>
          <w:tcPr>
            <w:tcW w:w="3749"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《公共资源交易平台管理暂行办法》第十八条，第二十六条</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lang w:val="en-US" w:eastAsia="zh-CN"/>
              </w:rPr>
              <w:t>《关于深化公共资源交易平台整合共享的指导意见》第八条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jc w:val="center"/>
              <w:textAlignment w:val="baseline"/>
              <w:rPr>
                <w:rFonts w:hint="eastAsia" w:ascii="仿宋" w:hAnsi="仿宋" w:eastAsia="仿宋" w:cs="仿宋"/>
                <w:sz w:val="21"/>
                <w:szCs w:val="21"/>
                <w:vertAlign w:val="baseline"/>
              </w:rPr>
            </w:pPr>
            <w:r>
              <w:rPr>
                <w:rFonts w:ascii="宋体" w:hAnsi="宋体" w:eastAsia="宋体" w:cs="宋体"/>
                <w:spacing w:val="-5"/>
                <w:sz w:val="21"/>
                <w:szCs w:val="21"/>
              </w:rPr>
              <w:t>3</w:t>
            </w:r>
            <w:r>
              <w:rPr>
                <w:rFonts w:ascii="宋体" w:hAnsi="宋体" w:eastAsia="宋体" w:cs="宋体"/>
                <w:spacing w:val="-3"/>
                <w:sz w:val="21"/>
                <w:szCs w:val="21"/>
              </w:rPr>
              <w:t>4</w:t>
            </w:r>
          </w:p>
        </w:tc>
        <w:tc>
          <w:tcPr>
            <w:tcW w:w="1920"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right="0" w:rightChars="0"/>
              <w:jc w:val="left"/>
              <w:textAlignment w:val="baseline"/>
              <w:rPr>
                <w:rFonts w:hint="eastAsia" w:ascii="仿宋" w:hAnsi="仿宋" w:eastAsia="仿宋" w:cs="仿宋"/>
                <w:sz w:val="21"/>
                <w:szCs w:val="21"/>
                <w:vertAlign w:val="baseline"/>
              </w:rPr>
            </w:pPr>
            <w:r>
              <w:rPr>
                <w:rFonts w:hint="eastAsia" w:ascii="仿宋" w:hAnsi="仿宋" w:eastAsia="仿宋" w:cs="仿宋"/>
                <w:sz w:val="24"/>
                <w:szCs w:val="24"/>
                <w:lang w:val="en-US" w:eastAsia="zh-CN"/>
              </w:rPr>
              <w:t>不履行或不正确履行法定职责</w:t>
            </w:r>
          </w:p>
        </w:tc>
        <w:tc>
          <w:tcPr>
            <w:tcW w:w="7425" w:type="dxa"/>
            <w:noWrap w:val="0"/>
            <w:vAlign w:val="bottom"/>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1.行使审批、备案、监管、处罚等行政监督管理职能。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2.违法从事或强制指定招标、拍卖、政府采购代理、工程造价等中介服务。</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3.强制非公共资源交易项目进入平台交易。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4.违法收取费用，以营利为目的。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5.无正当理由拒绝发布招标信息或者不按规定交互信息。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6.无正当理由延误招标信息发布时间。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7.因故意或重大过失导致发布的招标公告和公示信息发生遗漏、错误。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8.未按规定设立专家抽取岗，未配备专职操作人员和维护人员负责省综合专家库网络抽取终端的使用和维护。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9.将重要敏感数据擅自公开及用于商业用途。</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10.不按规定保存进场交易项目档案。</w:t>
            </w:r>
          </w:p>
        </w:tc>
        <w:tc>
          <w:tcPr>
            <w:tcW w:w="3749"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《公共资源交易平台管理暂行办法》第十八条，第十九条</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《招标公告和公示信息发布管理办法》第十九条</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《关于深化公共资源交易平台整合共享的指导意见》第八条</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《湖北省公共资源交易平台监管办法（试行》第五条、第六条、第十条</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《湖北省评标(评审)专家及专家库管理办法》第二十六条</w:t>
            </w:r>
          </w:p>
        </w:tc>
      </w:tr>
    </w:tbl>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default" w:ascii="仿宋_GB2312" w:hAnsi="仿宋_GB2312" w:eastAsia="仿宋_GB2312" w:cs="仿宋_GB2312"/>
          <w:sz w:val="32"/>
          <w:szCs w:val="32"/>
          <w:lang w:val="en-US" w:eastAsia="zh-CN"/>
        </w:rPr>
      </w:pPr>
    </w:p>
    <w:sectPr>
      <w:footerReference r:id="rId3" w:type="default"/>
      <w:pgSz w:w="16838" w:h="11906" w:orient="landscape"/>
      <w:pgMar w:top="1588" w:right="2098" w:bottom="1474" w:left="187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1"/>
        <w:rFonts w:cs="Times New Roman"/>
        <w:sz w:val="28"/>
        <w:szCs w:val="28"/>
      </w:rPr>
    </w:pPr>
    <w:r>
      <w:rPr>
        <w:rStyle w:val="11"/>
        <w:color w:val="FFFFFF"/>
        <w:sz w:val="28"/>
        <w:szCs w:val="28"/>
      </w:rPr>
      <w:t>—</w:t>
    </w:r>
    <w:r>
      <w:rPr>
        <w:rStyle w:val="11"/>
        <w:sz w:val="28"/>
        <w:szCs w:val="28"/>
      </w:rPr>
      <w:t xml:space="preserve">— </w:t>
    </w:r>
    <w:r>
      <w:rPr>
        <w:rStyle w:val="11"/>
        <w:sz w:val="28"/>
        <w:szCs w:val="28"/>
      </w:rPr>
      <w:fldChar w:fldCharType="begin"/>
    </w:r>
    <w:r>
      <w:rPr>
        <w:rStyle w:val="11"/>
        <w:sz w:val="28"/>
        <w:szCs w:val="28"/>
      </w:rPr>
      <w:instrText xml:space="preserve">PAGE  </w:instrText>
    </w:r>
    <w:r>
      <w:rPr>
        <w:rStyle w:val="11"/>
        <w:sz w:val="28"/>
        <w:szCs w:val="28"/>
      </w:rPr>
      <w:fldChar w:fldCharType="separate"/>
    </w:r>
    <w:r>
      <w:rPr>
        <w:rStyle w:val="11"/>
        <w:sz w:val="28"/>
        <w:szCs w:val="28"/>
      </w:rPr>
      <w:t>1</w:t>
    </w:r>
    <w:r>
      <w:rPr>
        <w:rStyle w:val="11"/>
        <w:sz w:val="28"/>
        <w:szCs w:val="28"/>
      </w:rPr>
      <w:fldChar w:fldCharType="end"/>
    </w:r>
    <w:r>
      <w:rPr>
        <w:rStyle w:val="11"/>
        <w:sz w:val="28"/>
        <w:szCs w:val="28"/>
      </w:rPr>
      <w:t xml:space="preserve"> —</w:t>
    </w:r>
    <w:r>
      <w:rPr>
        <w:rStyle w:val="11"/>
        <w:color w:val="FFFFFF"/>
        <w:sz w:val="28"/>
        <w:szCs w:val="28"/>
      </w:rPr>
      <w:t>—</w:t>
    </w:r>
  </w:p>
  <w:p>
    <w:pPr>
      <w:pStyle w:val="5"/>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NotTrackMoves/>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3NGFkZGJkODFlZjc4MGUzMzZlOTU2ZmFhZTQ2YWIifQ=="/>
  </w:docVars>
  <w:rsids>
    <w:rsidRoot w:val="00F34864"/>
    <w:rsid w:val="00020020"/>
    <w:rsid w:val="00024F25"/>
    <w:rsid w:val="000556D8"/>
    <w:rsid w:val="00082E50"/>
    <w:rsid w:val="000A16F3"/>
    <w:rsid w:val="000A4856"/>
    <w:rsid w:val="000A702E"/>
    <w:rsid w:val="000D0DC1"/>
    <w:rsid w:val="000D4974"/>
    <w:rsid w:val="000E62A2"/>
    <w:rsid w:val="000E74A9"/>
    <w:rsid w:val="000F36A3"/>
    <w:rsid w:val="001310CA"/>
    <w:rsid w:val="001720EA"/>
    <w:rsid w:val="00175EB2"/>
    <w:rsid w:val="00191CC5"/>
    <w:rsid w:val="0019470E"/>
    <w:rsid w:val="001B6004"/>
    <w:rsid w:val="001E5165"/>
    <w:rsid w:val="00221008"/>
    <w:rsid w:val="002B17D2"/>
    <w:rsid w:val="002C2A2C"/>
    <w:rsid w:val="002C7148"/>
    <w:rsid w:val="00332D7B"/>
    <w:rsid w:val="00344B0F"/>
    <w:rsid w:val="0038399F"/>
    <w:rsid w:val="003A09EF"/>
    <w:rsid w:val="003B08A2"/>
    <w:rsid w:val="003B0C0B"/>
    <w:rsid w:val="003B2025"/>
    <w:rsid w:val="003E3B56"/>
    <w:rsid w:val="004139C9"/>
    <w:rsid w:val="0042160A"/>
    <w:rsid w:val="00431283"/>
    <w:rsid w:val="00444C35"/>
    <w:rsid w:val="00451070"/>
    <w:rsid w:val="00473BCB"/>
    <w:rsid w:val="004A4A94"/>
    <w:rsid w:val="004D0C9D"/>
    <w:rsid w:val="004D1E53"/>
    <w:rsid w:val="00545B99"/>
    <w:rsid w:val="005659E2"/>
    <w:rsid w:val="0057143F"/>
    <w:rsid w:val="00571D2D"/>
    <w:rsid w:val="00595F6A"/>
    <w:rsid w:val="005A63AB"/>
    <w:rsid w:val="005B417E"/>
    <w:rsid w:val="005E0CF6"/>
    <w:rsid w:val="00600736"/>
    <w:rsid w:val="00613510"/>
    <w:rsid w:val="00634CB6"/>
    <w:rsid w:val="0067031D"/>
    <w:rsid w:val="006B66BF"/>
    <w:rsid w:val="006C1D64"/>
    <w:rsid w:val="0071799C"/>
    <w:rsid w:val="00732302"/>
    <w:rsid w:val="007534D4"/>
    <w:rsid w:val="007659E9"/>
    <w:rsid w:val="007749D8"/>
    <w:rsid w:val="00777472"/>
    <w:rsid w:val="007B2B7A"/>
    <w:rsid w:val="007B3214"/>
    <w:rsid w:val="007C5435"/>
    <w:rsid w:val="007F1F01"/>
    <w:rsid w:val="007F2F0C"/>
    <w:rsid w:val="0080204B"/>
    <w:rsid w:val="0084300D"/>
    <w:rsid w:val="00844BD5"/>
    <w:rsid w:val="00877B33"/>
    <w:rsid w:val="008935CF"/>
    <w:rsid w:val="008A5DD7"/>
    <w:rsid w:val="008A64D5"/>
    <w:rsid w:val="008B4176"/>
    <w:rsid w:val="008C5087"/>
    <w:rsid w:val="008E3308"/>
    <w:rsid w:val="008F2B71"/>
    <w:rsid w:val="00914E14"/>
    <w:rsid w:val="009164B0"/>
    <w:rsid w:val="00966197"/>
    <w:rsid w:val="009666E3"/>
    <w:rsid w:val="00973BF7"/>
    <w:rsid w:val="0098722A"/>
    <w:rsid w:val="009901F3"/>
    <w:rsid w:val="0099287F"/>
    <w:rsid w:val="009E44BF"/>
    <w:rsid w:val="009F425F"/>
    <w:rsid w:val="00A026F8"/>
    <w:rsid w:val="00A40C07"/>
    <w:rsid w:val="00A571ED"/>
    <w:rsid w:val="00A950BE"/>
    <w:rsid w:val="00AA6E74"/>
    <w:rsid w:val="00AB0D73"/>
    <w:rsid w:val="00AC117A"/>
    <w:rsid w:val="00AD3C88"/>
    <w:rsid w:val="00AE371E"/>
    <w:rsid w:val="00AF05A3"/>
    <w:rsid w:val="00B03C9A"/>
    <w:rsid w:val="00B52F67"/>
    <w:rsid w:val="00B62EB1"/>
    <w:rsid w:val="00B70788"/>
    <w:rsid w:val="00C0309A"/>
    <w:rsid w:val="00C30CA0"/>
    <w:rsid w:val="00C415AA"/>
    <w:rsid w:val="00C50B07"/>
    <w:rsid w:val="00C64846"/>
    <w:rsid w:val="00C92530"/>
    <w:rsid w:val="00CD57F0"/>
    <w:rsid w:val="00CD77E0"/>
    <w:rsid w:val="00D21103"/>
    <w:rsid w:val="00D3108E"/>
    <w:rsid w:val="00D5289E"/>
    <w:rsid w:val="00D61CEB"/>
    <w:rsid w:val="00D84116"/>
    <w:rsid w:val="00D8511D"/>
    <w:rsid w:val="00DB2ED6"/>
    <w:rsid w:val="00DC630B"/>
    <w:rsid w:val="00DD2445"/>
    <w:rsid w:val="00DF2665"/>
    <w:rsid w:val="00E155CF"/>
    <w:rsid w:val="00E17305"/>
    <w:rsid w:val="00E53E6F"/>
    <w:rsid w:val="00EE2CB7"/>
    <w:rsid w:val="00F11181"/>
    <w:rsid w:val="00F22B65"/>
    <w:rsid w:val="00F277D1"/>
    <w:rsid w:val="00F3400B"/>
    <w:rsid w:val="00F34864"/>
    <w:rsid w:val="00F3506E"/>
    <w:rsid w:val="00F8038D"/>
    <w:rsid w:val="00F93F34"/>
    <w:rsid w:val="012A4E2C"/>
    <w:rsid w:val="023A3DDC"/>
    <w:rsid w:val="02F61C8B"/>
    <w:rsid w:val="03EF28E8"/>
    <w:rsid w:val="05AF0313"/>
    <w:rsid w:val="07B255A0"/>
    <w:rsid w:val="07BB60D9"/>
    <w:rsid w:val="0AE33E48"/>
    <w:rsid w:val="0C4D66AB"/>
    <w:rsid w:val="0EB03EE1"/>
    <w:rsid w:val="0F2A0729"/>
    <w:rsid w:val="0F53501F"/>
    <w:rsid w:val="10FC01EC"/>
    <w:rsid w:val="110D4F08"/>
    <w:rsid w:val="152857F7"/>
    <w:rsid w:val="16E7241B"/>
    <w:rsid w:val="16F506B5"/>
    <w:rsid w:val="18F254E6"/>
    <w:rsid w:val="18F974AB"/>
    <w:rsid w:val="192A2047"/>
    <w:rsid w:val="19AB25C8"/>
    <w:rsid w:val="1B646629"/>
    <w:rsid w:val="1BDC74CE"/>
    <w:rsid w:val="1C884A19"/>
    <w:rsid w:val="1DA60009"/>
    <w:rsid w:val="1EB11B32"/>
    <w:rsid w:val="1F560250"/>
    <w:rsid w:val="1F871E4F"/>
    <w:rsid w:val="1FFD76EC"/>
    <w:rsid w:val="216B43E5"/>
    <w:rsid w:val="218B2532"/>
    <w:rsid w:val="21C9047A"/>
    <w:rsid w:val="225D6392"/>
    <w:rsid w:val="24D63E34"/>
    <w:rsid w:val="25AE0196"/>
    <w:rsid w:val="27956A0F"/>
    <w:rsid w:val="27BB664C"/>
    <w:rsid w:val="2912758C"/>
    <w:rsid w:val="2B2206B2"/>
    <w:rsid w:val="2BD52791"/>
    <w:rsid w:val="2D5E2F7E"/>
    <w:rsid w:val="2FC7196A"/>
    <w:rsid w:val="2FEA0CE5"/>
    <w:rsid w:val="2FF32F9F"/>
    <w:rsid w:val="30867839"/>
    <w:rsid w:val="30B91A31"/>
    <w:rsid w:val="31671F2B"/>
    <w:rsid w:val="32291752"/>
    <w:rsid w:val="32C44CBE"/>
    <w:rsid w:val="32D33615"/>
    <w:rsid w:val="35E66485"/>
    <w:rsid w:val="36F565F2"/>
    <w:rsid w:val="37887674"/>
    <w:rsid w:val="384D743C"/>
    <w:rsid w:val="384F019E"/>
    <w:rsid w:val="3853566E"/>
    <w:rsid w:val="393422FE"/>
    <w:rsid w:val="3A084845"/>
    <w:rsid w:val="3A720C18"/>
    <w:rsid w:val="3A9504E4"/>
    <w:rsid w:val="3B4A0519"/>
    <w:rsid w:val="3B866D61"/>
    <w:rsid w:val="3C3465D9"/>
    <w:rsid w:val="3E6569E0"/>
    <w:rsid w:val="3E981A3D"/>
    <w:rsid w:val="3F256936"/>
    <w:rsid w:val="3F3E1497"/>
    <w:rsid w:val="3F5D572D"/>
    <w:rsid w:val="40FC7160"/>
    <w:rsid w:val="41DB4E82"/>
    <w:rsid w:val="42857A27"/>
    <w:rsid w:val="432A4F0A"/>
    <w:rsid w:val="442E0601"/>
    <w:rsid w:val="45713CF2"/>
    <w:rsid w:val="473421A2"/>
    <w:rsid w:val="475C3CAF"/>
    <w:rsid w:val="488D5677"/>
    <w:rsid w:val="4B013B9A"/>
    <w:rsid w:val="4B820871"/>
    <w:rsid w:val="4BE635BD"/>
    <w:rsid w:val="4CE57BCE"/>
    <w:rsid w:val="4F1B6D3C"/>
    <w:rsid w:val="4F54193B"/>
    <w:rsid w:val="506062AF"/>
    <w:rsid w:val="50A85D7F"/>
    <w:rsid w:val="52544FDA"/>
    <w:rsid w:val="52B41B8C"/>
    <w:rsid w:val="54A27670"/>
    <w:rsid w:val="54DF23DD"/>
    <w:rsid w:val="56336A15"/>
    <w:rsid w:val="56787467"/>
    <w:rsid w:val="576D33F6"/>
    <w:rsid w:val="57933880"/>
    <w:rsid w:val="57EB1CC9"/>
    <w:rsid w:val="5B4E47D1"/>
    <w:rsid w:val="5CA41A35"/>
    <w:rsid w:val="5DD7297E"/>
    <w:rsid w:val="5E56754A"/>
    <w:rsid w:val="5FA74534"/>
    <w:rsid w:val="62885579"/>
    <w:rsid w:val="62B261D3"/>
    <w:rsid w:val="631624B0"/>
    <w:rsid w:val="633024E9"/>
    <w:rsid w:val="639628B9"/>
    <w:rsid w:val="63DE5611"/>
    <w:rsid w:val="6417202D"/>
    <w:rsid w:val="64DC68FD"/>
    <w:rsid w:val="64DE7FF9"/>
    <w:rsid w:val="65471C48"/>
    <w:rsid w:val="6547719A"/>
    <w:rsid w:val="655B17D7"/>
    <w:rsid w:val="66612DD6"/>
    <w:rsid w:val="67396241"/>
    <w:rsid w:val="676216AE"/>
    <w:rsid w:val="68660D5F"/>
    <w:rsid w:val="68825C62"/>
    <w:rsid w:val="689C1DC8"/>
    <w:rsid w:val="695F2422"/>
    <w:rsid w:val="6CD35D63"/>
    <w:rsid w:val="6DFE500E"/>
    <w:rsid w:val="6FF7349B"/>
    <w:rsid w:val="70E83DF8"/>
    <w:rsid w:val="71127931"/>
    <w:rsid w:val="71726C19"/>
    <w:rsid w:val="719F153F"/>
    <w:rsid w:val="729B2160"/>
    <w:rsid w:val="72D97B12"/>
    <w:rsid w:val="752220CD"/>
    <w:rsid w:val="756F0C99"/>
    <w:rsid w:val="75775260"/>
    <w:rsid w:val="75DC6AD5"/>
    <w:rsid w:val="77B02458"/>
    <w:rsid w:val="786C6B31"/>
    <w:rsid w:val="78A17E26"/>
    <w:rsid w:val="7A09549C"/>
    <w:rsid w:val="7CB60B80"/>
    <w:rsid w:val="7E9016FC"/>
    <w:rsid w:val="7EA31E62"/>
    <w:rsid w:val="7ED769FB"/>
    <w:rsid w:val="7EEB695D"/>
    <w:rsid w:val="7F6B5EE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0" w:semiHidden="0" w:name="annotation text" w:locked="1"/>
    <w:lsdException w:qFormat="1" w:unhideWhenUsed="0" w:uiPriority="99"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uiPriority="99" w:name="Body Text" w:locked="1"/>
    <w:lsdException w:unhideWhenUsed="0" w:uiPriority="0"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qFormat="1" w:unhideWhenUsed="0" w:uiPriority="0" w:semiHidden="0"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name="Hyperlink"/>
    <w:lsdException w:qFormat="1" w:unhideWhenUsed="0" w:uiPriority="99" w:name="FollowedHyperlink"/>
    <w:lsdException w:qFormat="1" w:unhideWhenUsed="0" w:uiPriority="22" w:semiHidden="0" w:name="Strong" w:locked="1"/>
    <w:lsdException w:qFormat="1" w:unhideWhenUsed="0" w:uiPriority="99" w:semiHidden="0" w:name="Emphasis" w:locked="1"/>
    <w:lsdException w:uiPriority="99" w:name="Document Map" w:locked="1"/>
    <w:lsdException w:uiPriority="99" w:name="Plain Text" w:locked="1"/>
    <w:lsdException w:uiPriority="99" w:name="E-mail Signature" w:locked="1"/>
    <w:lsdException w:qFormat="1" w:unhideWhenUsed="0" w:uiPriority="99" w:name="Normal (Web)"/>
    <w:lsdException w:uiPriority="99" w:name="HTML Acronym" w:locked="1"/>
    <w:lsdException w:uiPriority="99" w:name="HTML Address" w:locked="1"/>
    <w:lsdException w:qFormat="1" w:unhideWhenUsed="0" w:uiPriority="99" w:name="HTML Cite"/>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qFormat="1" w:unhideWhenUsed="0" w:uiPriority="0"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locked/>
    <w:uiPriority w:val="0"/>
    <w:pPr>
      <w:overflowPunct w:val="0"/>
      <w:ind w:firstLine="200" w:firstLineChars="200"/>
    </w:pPr>
    <w:rPr>
      <w:rFonts w:ascii="Times New Roman" w:hAnsi="Times New Roman"/>
    </w:rPr>
  </w:style>
  <w:style w:type="paragraph" w:styleId="3">
    <w:name w:val="Body Text Indent"/>
    <w:basedOn w:val="1"/>
    <w:next w:val="1"/>
    <w:locked/>
    <w:uiPriority w:val="0"/>
    <w:pPr>
      <w:spacing w:line="560" w:lineRule="exact"/>
      <w:ind w:firstLine="629"/>
    </w:pPr>
    <w:rPr>
      <w:rFonts w:eastAsia="仿宋_GB2312"/>
      <w:sz w:val="32"/>
    </w:rPr>
  </w:style>
  <w:style w:type="paragraph" w:styleId="4">
    <w:name w:val="annotation text"/>
    <w:basedOn w:val="1"/>
    <w:qFormat/>
    <w:locked/>
    <w:uiPriority w:val="0"/>
    <w:pPr>
      <w:jc w:val="left"/>
    </w:pPr>
  </w:style>
  <w:style w:type="paragraph" w:styleId="5">
    <w:name w:val="footer"/>
    <w:basedOn w:val="1"/>
    <w:link w:val="16"/>
    <w:qFormat/>
    <w:uiPriority w:val="99"/>
    <w:pPr>
      <w:tabs>
        <w:tab w:val="center" w:pos="4153"/>
        <w:tab w:val="right" w:pos="8306"/>
      </w:tabs>
      <w:snapToGrid w:val="0"/>
      <w:jc w:val="left"/>
    </w:pPr>
    <w:rPr>
      <w:sz w:val="18"/>
      <w:szCs w:val="18"/>
    </w:rPr>
  </w:style>
  <w:style w:type="paragraph" w:styleId="6">
    <w:name w:val="header"/>
    <w:basedOn w:val="1"/>
    <w:link w:val="17"/>
    <w:semiHidden/>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qFormat/>
    <w:uiPriority w:val="99"/>
    <w:pPr>
      <w:spacing w:beforeAutospacing="1" w:afterAutospacing="1"/>
      <w:jc w:val="left"/>
    </w:pPr>
    <w:rPr>
      <w:kern w:val="0"/>
      <w:sz w:val="24"/>
      <w:szCs w:val="24"/>
    </w:rPr>
  </w:style>
  <w:style w:type="table" w:styleId="9">
    <w:name w:val="Table Grid"/>
    <w:basedOn w:val="8"/>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99"/>
  </w:style>
  <w:style w:type="character" w:styleId="12">
    <w:name w:val="FollowedHyperlink"/>
    <w:basedOn w:val="10"/>
    <w:semiHidden/>
    <w:qFormat/>
    <w:uiPriority w:val="99"/>
    <w:rPr>
      <w:color w:val="auto"/>
      <w:u w:val="none"/>
    </w:rPr>
  </w:style>
  <w:style w:type="character" w:styleId="13">
    <w:name w:val="Emphasis"/>
    <w:basedOn w:val="10"/>
    <w:qFormat/>
    <w:locked/>
    <w:uiPriority w:val="99"/>
  </w:style>
  <w:style w:type="character" w:styleId="14">
    <w:name w:val="Hyperlink"/>
    <w:basedOn w:val="10"/>
    <w:semiHidden/>
    <w:qFormat/>
    <w:uiPriority w:val="99"/>
    <w:rPr>
      <w:color w:val="auto"/>
      <w:u w:val="none"/>
    </w:rPr>
  </w:style>
  <w:style w:type="character" w:styleId="15">
    <w:name w:val="HTML Cite"/>
    <w:basedOn w:val="10"/>
    <w:semiHidden/>
    <w:qFormat/>
    <w:uiPriority w:val="99"/>
  </w:style>
  <w:style w:type="character" w:customStyle="1" w:styleId="16">
    <w:name w:val="页脚 Char"/>
    <w:basedOn w:val="10"/>
    <w:link w:val="5"/>
    <w:qFormat/>
    <w:locked/>
    <w:uiPriority w:val="99"/>
    <w:rPr>
      <w:sz w:val="18"/>
      <w:szCs w:val="18"/>
    </w:rPr>
  </w:style>
  <w:style w:type="character" w:customStyle="1" w:styleId="17">
    <w:name w:val="页眉 Char"/>
    <w:basedOn w:val="10"/>
    <w:link w:val="6"/>
    <w:semiHidden/>
    <w:qFormat/>
    <w:locked/>
    <w:uiPriority w:val="99"/>
    <w:rPr>
      <w:sz w:val="18"/>
      <w:szCs w:val="18"/>
    </w:rPr>
  </w:style>
  <w:style w:type="character" w:customStyle="1" w:styleId="18">
    <w:name w:val="bjh-strong3"/>
    <w:basedOn w:val="10"/>
    <w:qFormat/>
    <w:uiPriority w:val="99"/>
    <w:rPr>
      <w:color w:val="auto"/>
    </w:rPr>
  </w:style>
  <w:style w:type="character" w:customStyle="1" w:styleId="19">
    <w:name w:val="on2"/>
    <w:basedOn w:val="10"/>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15</Pages>
  <Words>8239</Words>
  <Characters>8447</Characters>
  <Lines>5</Lines>
  <Paragraphs>1</Paragraphs>
  <TotalTime>2</TotalTime>
  <ScaleCrop>false</ScaleCrop>
  <LinksUpToDate>false</LinksUpToDate>
  <CharactersWithSpaces>10473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2019-04-28T03:41:00Z</dcterms:created>
  <dc:creator>PC</dc:creator>
  <cp:lastModifiedBy>磊</cp:lastModifiedBy>
  <cp:lastPrinted>2019-06-17T08:50:00Z</cp:lastPrinted>
  <dcterms:modified xsi:type="dcterms:W3CDTF">2022-10-27T01:03:51Z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7153F6C4630C47F4BC004EA683F9AF3C</vt:lpwstr>
  </property>
</Properties>
</file>